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0055" w14:textId="77777777" w:rsidR="002F2E5F" w:rsidRPr="0012608D" w:rsidRDefault="002F2E5F" w:rsidP="002F2E5F">
      <w:pPr>
        <w:jc w:val="center"/>
        <w:rPr>
          <w:sz w:val="24"/>
          <w:szCs w:val="24"/>
        </w:rPr>
      </w:pPr>
      <w:r w:rsidRPr="0012608D">
        <w:rPr>
          <w:sz w:val="24"/>
          <w:szCs w:val="24"/>
        </w:rPr>
        <w:t>STATE OF NEW HAMPSHIRE</w:t>
      </w:r>
    </w:p>
    <w:p w14:paraId="3612A03C" w14:textId="77777777" w:rsidR="002F2E5F" w:rsidRPr="0012608D" w:rsidRDefault="002F2E5F" w:rsidP="002F2E5F">
      <w:pPr>
        <w:jc w:val="center"/>
        <w:rPr>
          <w:sz w:val="24"/>
          <w:szCs w:val="24"/>
        </w:rPr>
      </w:pPr>
    </w:p>
    <w:p w14:paraId="0399F218" w14:textId="77777777" w:rsidR="002F2E5F" w:rsidRPr="0012608D" w:rsidRDefault="002F2E5F" w:rsidP="002F2E5F">
      <w:pPr>
        <w:jc w:val="center"/>
        <w:rPr>
          <w:sz w:val="24"/>
          <w:szCs w:val="24"/>
        </w:rPr>
      </w:pPr>
      <w:r w:rsidRPr="0012608D">
        <w:rPr>
          <w:sz w:val="24"/>
          <w:szCs w:val="24"/>
        </w:rPr>
        <w:t>9</w:t>
      </w:r>
      <w:r w:rsidRPr="0012608D">
        <w:rPr>
          <w:smallCaps/>
          <w:sz w:val="24"/>
          <w:szCs w:val="24"/>
        </w:rPr>
        <w:t>th</w:t>
      </w:r>
      <w:r w:rsidRPr="0012608D">
        <w:rPr>
          <w:sz w:val="24"/>
          <w:szCs w:val="24"/>
        </w:rPr>
        <w:t xml:space="preserve"> CIRCUIT – PROBATE DIVISION – NASHUA</w:t>
      </w:r>
    </w:p>
    <w:p w14:paraId="43E94375" w14:textId="77777777" w:rsidR="002F2E5F" w:rsidRPr="0012608D" w:rsidRDefault="002F2E5F" w:rsidP="002F2E5F">
      <w:pPr>
        <w:tabs>
          <w:tab w:val="right" w:pos="8640"/>
        </w:tabs>
        <w:rPr>
          <w:sz w:val="24"/>
          <w:szCs w:val="24"/>
        </w:rPr>
      </w:pPr>
    </w:p>
    <w:p w14:paraId="270BCE78" w14:textId="77777777" w:rsidR="002F2E5F" w:rsidRPr="0012608D" w:rsidRDefault="002F2E5F" w:rsidP="002F2E5F">
      <w:pPr>
        <w:tabs>
          <w:tab w:val="right" w:pos="8640"/>
        </w:tabs>
        <w:spacing w:after="240"/>
        <w:jc w:val="center"/>
        <w:rPr>
          <w:sz w:val="24"/>
          <w:szCs w:val="24"/>
        </w:rPr>
      </w:pPr>
      <w:r w:rsidRPr="0012608D">
        <w:rPr>
          <w:sz w:val="24"/>
          <w:szCs w:val="24"/>
        </w:rPr>
        <w:t>Case Number:  316-2018-EQ-02064</w:t>
      </w:r>
    </w:p>
    <w:p w14:paraId="0EAF127E" w14:textId="77777777" w:rsidR="00786229" w:rsidRPr="00786229" w:rsidRDefault="00786229" w:rsidP="002F2E5F">
      <w:pPr>
        <w:spacing w:line="278" w:lineRule="exact"/>
        <w:jc w:val="center"/>
        <w:textAlignment w:val="baseline"/>
        <w:rPr>
          <w:rFonts w:eastAsia="Times New Roman"/>
          <w:b/>
          <w:caps/>
          <w:color w:val="000000"/>
          <w:sz w:val="24"/>
          <w:szCs w:val="24"/>
        </w:rPr>
      </w:pPr>
      <w:r w:rsidRPr="00786229">
        <w:rPr>
          <w:rFonts w:eastAsia="Times New Roman"/>
          <w:b/>
          <w:caps/>
          <w:color w:val="000000"/>
          <w:sz w:val="24"/>
          <w:szCs w:val="24"/>
        </w:rPr>
        <w:t xml:space="preserve">TRUSTEE’S OBJECTION TO PETITIONER’S MOTION FOR ORDER </w:t>
      </w:r>
    </w:p>
    <w:p w14:paraId="2FE41D42" w14:textId="06A77DF2" w:rsidR="00786229" w:rsidRDefault="00642E47" w:rsidP="002F2E5F">
      <w:pPr>
        <w:spacing w:line="278" w:lineRule="exact"/>
        <w:jc w:val="center"/>
        <w:textAlignment w:val="baseline"/>
        <w:rPr>
          <w:rFonts w:eastAsia="Times New Roman"/>
          <w:b/>
          <w:caps/>
          <w:color w:val="000000"/>
          <w:sz w:val="24"/>
          <w:szCs w:val="24"/>
          <w:u w:val="single"/>
        </w:rPr>
      </w:pPr>
      <w:r>
        <w:rPr>
          <w:rFonts w:eastAsia="Times New Roman"/>
          <w:b/>
          <w:caps/>
          <w:color w:val="000000"/>
          <w:sz w:val="24"/>
          <w:szCs w:val="24"/>
          <w:u w:val="single"/>
        </w:rPr>
        <w:t xml:space="preserve">THAT BENEFICIARY </w:t>
      </w:r>
      <w:r w:rsidR="00786229">
        <w:rPr>
          <w:rFonts w:eastAsia="Times New Roman"/>
          <w:b/>
          <w:caps/>
          <w:color w:val="000000"/>
          <w:sz w:val="24"/>
          <w:szCs w:val="24"/>
          <w:u w:val="single"/>
        </w:rPr>
        <w:t>PERSONALLY PAY ATTORNEY</w:t>
      </w:r>
      <w:r w:rsidR="00265093">
        <w:rPr>
          <w:rFonts w:eastAsia="Times New Roman"/>
          <w:b/>
          <w:caps/>
          <w:color w:val="000000"/>
          <w:sz w:val="24"/>
          <w:szCs w:val="24"/>
          <w:u w:val="single"/>
        </w:rPr>
        <w:t>’</w:t>
      </w:r>
      <w:r w:rsidR="00786229">
        <w:rPr>
          <w:rFonts w:eastAsia="Times New Roman"/>
          <w:b/>
          <w:caps/>
          <w:color w:val="000000"/>
          <w:sz w:val="24"/>
          <w:szCs w:val="24"/>
          <w:u w:val="single"/>
        </w:rPr>
        <w:t>S FEES</w:t>
      </w:r>
    </w:p>
    <w:p w14:paraId="6F244BAF" w14:textId="51BF8D21" w:rsidR="0092783F" w:rsidRPr="0012608D" w:rsidRDefault="0092783F" w:rsidP="0092783F">
      <w:pPr>
        <w:spacing w:line="284" w:lineRule="exact"/>
        <w:textAlignment w:val="baseline"/>
        <w:rPr>
          <w:rFonts w:eastAsia="Bookman Old Style"/>
          <w:color w:val="000000"/>
          <w:spacing w:val="5"/>
          <w:w w:val="90"/>
          <w:sz w:val="24"/>
          <w:szCs w:val="24"/>
        </w:rPr>
      </w:pPr>
    </w:p>
    <w:p w14:paraId="521D0C1E" w14:textId="2B099236" w:rsidR="00B4537F" w:rsidRPr="00B4537F" w:rsidRDefault="00071CC1" w:rsidP="00D7332B">
      <w:pPr>
        <w:pStyle w:val="NoSpacing"/>
        <w:rPr>
          <w:szCs w:val="24"/>
        </w:rPr>
      </w:pPr>
      <w:r>
        <w:rPr>
          <w:szCs w:val="24"/>
        </w:rPr>
        <w:t xml:space="preserve">NOW COMES </w:t>
      </w:r>
      <w:r w:rsidR="00081910" w:rsidRPr="0012608D">
        <w:rPr>
          <w:szCs w:val="24"/>
        </w:rPr>
        <w:t xml:space="preserve">Respondent </w:t>
      </w:r>
      <w:r w:rsidR="002F2E5F" w:rsidRPr="0012608D">
        <w:rPr>
          <w:szCs w:val="24"/>
        </w:rPr>
        <w:t xml:space="preserve">Trustee </w:t>
      </w:r>
      <w:r>
        <w:rPr>
          <w:szCs w:val="24"/>
        </w:rPr>
        <w:t>states as follows:</w:t>
      </w:r>
    </w:p>
    <w:p w14:paraId="38A4372C" w14:textId="7FB0B5CC" w:rsidR="002659FB" w:rsidRDefault="00071CC1" w:rsidP="002659FB">
      <w:pPr>
        <w:pStyle w:val="NoSpacing"/>
        <w:numPr>
          <w:ilvl w:val="0"/>
          <w:numId w:val="11"/>
        </w:numPr>
        <w:ind w:left="0" w:firstLine="720"/>
        <w:rPr>
          <w:szCs w:val="24"/>
        </w:rPr>
      </w:pPr>
      <w:r>
        <w:rPr>
          <w:szCs w:val="24"/>
        </w:rPr>
        <w:t xml:space="preserve">The motion must be denied because it is contrary to settled law.  </w:t>
      </w:r>
      <w:r w:rsidR="00F9073B">
        <w:rPr>
          <w:szCs w:val="24"/>
        </w:rPr>
        <w:t>Without citation, t</w:t>
      </w:r>
      <w:r w:rsidR="0090759F">
        <w:rPr>
          <w:szCs w:val="24"/>
        </w:rPr>
        <w:t xml:space="preserve">he </w:t>
      </w:r>
      <w:r w:rsidR="00F9073B">
        <w:rPr>
          <w:szCs w:val="24"/>
        </w:rPr>
        <w:t xml:space="preserve">motion falsely </w:t>
      </w:r>
      <w:r w:rsidR="0090759F">
        <w:rPr>
          <w:szCs w:val="24"/>
        </w:rPr>
        <w:t>states, “</w:t>
      </w:r>
      <w:r>
        <w:rPr>
          <w:szCs w:val="24"/>
        </w:rPr>
        <w:t>T</w:t>
      </w:r>
      <w:r w:rsidR="00E85438">
        <w:rPr>
          <w:szCs w:val="24"/>
        </w:rPr>
        <w:t>he Trustee</w:t>
      </w:r>
      <w:r w:rsidR="00376B1D">
        <w:rPr>
          <w:szCs w:val="24"/>
        </w:rPr>
        <w:t xml:space="preserve"> </w:t>
      </w:r>
      <w:r w:rsidR="00F9073B">
        <w:rPr>
          <w:szCs w:val="24"/>
        </w:rPr>
        <w:t xml:space="preserve">does not have an obligation to defend the validity of the Trust.”  In fact, the law requires the </w:t>
      </w:r>
      <w:r w:rsidR="006A32B9">
        <w:rPr>
          <w:szCs w:val="24"/>
        </w:rPr>
        <w:t>T</w:t>
      </w:r>
      <w:r w:rsidR="00F9073B">
        <w:rPr>
          <w:szCs w:val="24"/>
        </w:rPr>
        <w:t xml:space="preserve">rustee to defend the </w:t>
      </w:r>
      <w:r w:rsidR="006A32B9">
        <w:rPr>
          <w:szCs w:val="24"/>
        </w:rPr>
        <w:t xml:space="preserve">Petitioner’s </w:t>
      </w:r>
      <w:r w:rsidR="00F9073B">
        <w:rPr>
          <w:szCs w:val="24"/>
        </w:rPr>
        <w:t xml:space="preserve">claim.  </w:t>
      </w:r>
      <w:r w:rsidR="006A32B9" w:rsidRPr="006A32B9">
        <w:rPr>
          <w:i/>
          <w:szCs w:val="24"/>
        </w:rPr>
        <w:t>See e.g.</w:t>
      </w:r>
      <w:r w:rsidR="006A32B9" w:rsidRPr="006A32B9">
        <w:rPr>
          <w:szCs w:val="24"/>
        </w:rPr>
        <w:t xml:space="preserve">, </w:t>
      </w:r>
      <w:r w:rsidR="006A32B9" w:rsidRPr="006A32B9">
        <w:rPr>
          <w:i/>
          <w:szCs w:val="24"/>
        </w:rPr>
        <w:t xml:space="preserve">Loring &amp; Rounds: </w:t>
      </w:r>
      <w:r w:rsidR="006A32B9" w:rsidRPr="006A32B9">
        <w:rPr>
          <w:szCs w:val="24"/>
        </w:rPr>
        <w:t>A Trustee’s Handbook § 6.2.6 (2012) (“</w:t>
      </w:r>
      <w:r w:rsidR="006A32B9" w:rsidRPr="006A32B9">
        <w:rPr>
          <w:szCs w:val="24"/>
          <w:u w:val="single"/>
        </w:rPr>
        <w:t>The trustee has a duty to defend the trust</w:t>
      </w:r>
      <w:r w:rsidR="006A32B9" w:rsidRPr="006A32B9">
        <w:rPr>
          <w:szCs w:val="24"/>
        </w:rPr>
        <w:t xml:space="preserve">.  The trust may be attacked by those who have an economic interest in bringing about its cancelation or termination.  It may be attacked by those who oppose its purposes.  To fail to mount a vigorous defense is to thwart the intentions of the settlor and may be grounds for the trustee’s removal.”) (citing </w:t>
      </w:r>
      <w:proofErr w:type="spellStart"/>
      <w:r w:rsidR="006A32B9" w:rsidRPr="006A32B9">
        <w:rPr>
          <w:i/>
          <w:szCs w:val="24"/>
        </w:rPr>
        <w:t>Bogert</w:t>
      </w:r>
      <w:proofErr w:type="spellEnd"/>
      <w:r w:rsidR="006A32B9" w:rsidRPr="006A32B9">
        <w:rPr>
          <w:szCs w:val="24"/>
        </w:rPr>
        <w:t>, Trusts and Trustees § 581, and 2A Scott on Trusts § 178)</w:t>
      </w:r>
      <w:r w:rsidR="006A32B9">
        <w:rPr>
          <w:szCs w:val="24"/>
        </w:rPr>
        <w:t>;</w:t>
      </w:r>
      <w:r w:rsidR="00376B1D">
        <w:rPr>
          <w:szCs w:val="24"/>
        </w:rPr>
        <w:t xml:space="preserve"> </w:t>
      </w:r>
      <w:r w:rsidR="000F0041">
        <w:rPr>
          <w:szCs w:val="24"/>
        </w:rPr>
        <w:t>RSA 564-B:8-</w:t>
      </w:r>
      <w:r w:rsidR="00376B1D">
        <w:rPr>
          <w:szCs w:val="24"/>
        </w:rPr>
        <w:t>811</w:t>
      </w:r>
      <w:r w:rsidR="00D23817">
        <w:rPr>
          <w:szCs w:val="24"/>
        </w:rPr>
        <w:t xml:space="preserve"> (“[a] </w:t>
      </w:r>
      <w:r w:rsidR="00D23817" w:rsidRPr="006A32B9">
        <w:rPr>
          <w:szCs w:val="24"/>
          <w:u w:val="single"/>
        </w:rPr>
        <w:t>trustee shall take reas</w:t>
      </w:r>
      <w:r w:rsidR="006A32B9" w:rsidRPr="006A32B9">
        <w:rPr>
          <w:szCs w:val="24"/>
          <w:u w:val="single"/>
        </w:rPr>
        <w:t>onable steps to…</w:t>
      </w:r>
      <w:r w:rsidR="00D23817" w:rsidRPr="006A32B9">
        <w:rPr>
          <w:szCs w:val="24"/>
          <w:u w:val="single"/>
        </w:rPr>
        <w:t xml:space="preserve"> defend claims against the trust</w:t>
      </w:r>
      <w:r w:rsidR="00D23817">
        <w:rPr>
          <w:szCs w:val="24"/>
        </w:rPr>
        <w:t>”)</w:t>
      </w:r>
      <w:r w:rsidR="000F515E">
        <w:rPr>
          <w:szCs w:val="24"/>
        </w:rPr>
        <w:t xml:space="preserve">; </w:t>
      </w:r>
      <w:r w:rsidR="000F515E">
        <w:rPr>
          <w:i/>
          <w:szCs w:val="24"/>
        </w:rPr>
        <w:t>see also</w:t>
      </w:r>
      <w:r w:rsidR="00745E0B">
        <w:rPr>
          <w:szCs w:val="24"/>
        </w:rPr>
        <w:t xml:space="preserve"> RSA 564-B:8-816</w:t>
      </w:r>
      <w:r w:rsidR="00815C81">
        <w:rPr>
          <w:szCs w:val="24"/>
        </w:rPr>
        <w:t>(a)</w:t>
      </w:r>
      <w:r w:rsidR="00745E0B">
        <w:rPr>
          <w:szCs w:val="24"/>
        </w:rPr>
        <w:t>(24)</w:t>
      </w:r>
      <w:r w:rsidR="00D416D6">
        <w:rPr>
          <w:szCs w:val="24"/>
        </w:rPr>
        <w:t xml:space="preserve"> (trustee has </w:t>
      </w:r>
      <w:r w:rsidR="00360B5F">
        <w:rPr>
          <w:szCs w:val="24"/>
        </w:rPr>
        <w:t xml:space="preserve">the </w:t>
      </w:r>
      <w:r w:rsidR="00D416D6">
        <w:rPr>
          <w:szCs w:val="24"/>
        </w:rPr>
        <w:t>power</w:t>
      </w:r>
      <w:r w:rsidR="00360B5F">
        <w:rPr>
          <w:szCs w:val="24"/>
        </w:rPr>
        <w:t xml:space="preserve"> to</w:t>
      </w:r>
      <w:r w:rsidR="0078489A">
        <w:rPr>
          <w:szCs w:val="24"/>
        </w:rPr>
        <w:t xml:space="preserve"> “</w:t>
      </w:r>
      <w:r w:rsidR="00360B5F">
        <w:rPr>
          <w:szCs w:val="24"/>
        </w:rPr>
        <w:t>…</w:t>
      </w:r>
      <w:r w:rsidR="0078489A">
        <w:rPr>
          <w:szCs w:val="24"/>
        </w:rPr>
        <w:t xml:space="preserve"> defend an action, claim, or judicial proceeding in any jurisdiction to protect trust property and the trustee in the performance of the trustee’s duties”</w:t>
      </w:r>
      <w:r w:rsidR="00D416D6">
        <w:rPr>
          <w:szCs w:val="24"/>
        </w:rPr>
        <w:t>).</w:t>
      </w:r>
      <w:r w:rsidR="0078489A">
        <w:rPr>
          <w:szCs w:val="24"/>
        </w:rPr>
        <w:t xml:space="preserve">  </w:t>
      </w:r>
      <w:r w:rsidR="002A3EC1">
        <w:rPr>
          <w:szCs w:val="24"/>
        </w:rPr>
        <w:t xml:space="preserve"> </w:t>
      </w:r>
      <w:r w:rsidR="0078489A">
        <w:rPr>
          <w:szCs w:val="24"/>
        </w:rPr>
        <w:t xml:space="preserve">Giving effect to the settlor’s intent is “paramount” under RSA 564-B:1-112 and </w:t>
      </w:r>
      <w:r w:rsidR="00DC0D94">
        <w:rPr>
          <w:szCs w:val="24"/>
        </w:rPr>
        <w:t>the T</w:t>
      </w:r>
      <w:r w:rsidR="0078489A">
        <w:rPr>
          <w:szCs w:val="24"/>
        </w:rPr>
        <w:t xml:space="preserve">rustee’s failure to defend </w:t>
      </w:r>
      <w:r w:rsidR="00DC0D94">
        <w:rPr>
          <w:szCs w:val="24"/>
        </w:rPr>
        <w:t>the</w:t>
      </w:r>
      <w:r w:rsidR="0078489A">
        <w:rPr>
          <w:szCs w:val="24"/>
        </w:rPr>
        <w:t xml:space="preserve"> Trust would</w:t>
      </w:r>
      <w:r w:rsidR="00D416D6">
        <w:rPr>
          <w:szCs w:val="24"/>
        </w:rPr>
        <w:t xml:space="preserve"> be a breach of the trustee’s duty</w:t>
      </w:r>
      <w:r w:rsidR="002659FB">
        <w:rPr>
          <w:szCs w:val="24"/>
        </w:rPr>
        <w:t xml:space="preserve"> </w:t>
      </w:r>
      <w:r w:rsidR="00704FD1">
        <w:rPr>
          <w:szCs w:val="24"/>
        </w:rPr>
        <w:t xml:space="preserve">effectuate </w:t>
      </w:r>
      <w:r w:rsidR="0078489A">
        <w:rPr>
          <w:szCs w:val="24"/>
        </w:rPr>
        <w:t xml:space="preserve">such intentions.  </w:t>
      </w:r>
      <w:r w:rsidR="00163BF7">
        <w:rPr>
          <w:szCs w:val="24"/>
        </w:rPr>
        <w:t xml:space="preserve"> </w:t>
      </w:r>
      <w:r w:rsidR="00942D56">
        <w:rPr>
          <w:szCs w:val="24"/>
        </w:rPr>
        <w:t xml:space="preserve"> In fact, when an action is a “vehicle for attacking the trust itself, </w:t>
      </w:r>
      <w:r w:rsidR="00942D56">
        <w:rPr>
          <w:i/>
          <w:szCs w:val="24"/>
        </w:rPr>
        <w:t>e.g.</w:t>
      </w:r>
      <w:r w:rsidR="00942D56">
        <w:rPr>
          <w:szCs w:val="24"/>
        </w:rPr>
        <w:t>, if there are allegations that the trust was the product of fraud, duress or undue influence, then the trustee is duty bound to advocate for the trust’s validity</w:t>
      </w:r>
      <w:r w:rsidR="004719A2">
        <w:rPr>
          <w:szCs w:val="24"/>
        </w:rPr>
        <w:t xml:space="preserve"> </w:t>
      </w:r>
      <w:r w:rsidR="00942D56">
        <w:rPr>
          <w:szCs w:val="24"/>
        </w:rPr>
        <w:t xml:space="preserve">[ ].”  </w:t>
      </w:r>
      <w:r w:rsidR="005B4D8E" w:rsidRPr="006A32B9">
        <w:rPr>
          <w:i/>
          <w:szCs w:val="24"/>
        </w:rPr>
        <w:t xml:space="preserve">Loring &amp; Rounds: </w:t>
      </w:r>
      <w:r w:rsidR="005B4D8E" w:rsidRPr="006A32B9">
        <w:rPr>
          <w:szCs w:val="24"/>
        </w:rPr>
        <w:t xml:space="preserve">A Trustee’s Handbook § 6.2.6 (2012) </w:t>
      </w:r>
      <w:r w:rsidR="00E75462">
        <w:rPr>
          <w:szCs w:val="24"/>
        </w:rPr>
        <w:t xml:space="preserve"> (</w:t>
      </w:r>
      <w:r w:rsidR="00942D56">
        <w:rPr>
          <w:szCs w:val="24"/>
        </w:rPr>
        <w:t xml:space="preserve">citing 3 Scott &amp; </w:t>
      </w:r>
      <w:proofErr w:type="spellStart"/>
      <w:r w:rsidR="00942D56">
        <w:rPr>
          <w:szCs w:val="24"/>
        </w:rPr>
        <w:t>Ascher</w:t>
      </w:r>
      <w:proofErr w:type="spellEnd"/>
      <w:r w:rsidR="00942D56">
        <w:rPr>
          <w:szCs w:val="24"/>
        </w:rPr>
        <w:t>, § 17.10</w:t>
      </w:r>
      <w:r w:rsidR="00E75462">
        <w:rPr>
          <w:szCs w:val="24"/>
        </w:rPr>
        <w:t>)</w:t>
      </w:r>
      <w:r w:rsidR="00942D56">
        <w:rPr>
          <w:szCs w:val="24"/>
        </w:rPr>
        <w:t>.</w:t>
      </w:r>
      <w:r w:rsidR="00745E0B">
        <w:rPr>
          <w:szCs w:val="24"/>
        </w:rPr>
        <w:t xml:space="preserve">  </w:t>
      </w:r>
      <w:r w:rsidR="00375A19">
        <w:rPr>
          <w:szCs w:val="24"/>
        </w:rPr>
        <w:t xml:space="preserve">There is simply no support for the idea that a trustee does </w:t>
      </w:r>
      <w:r w:rsidR="00375A19" w:rsidRPr="00375A19">
        <w:rPr>
          <w:i/>
          <w:szCs w:val="24"/>
        </w:rPr>
        <w:t>not</w:t>
      </w:r>
      <w:r w:rsidR="00375A19">
        <w:rPr>
          <w:szCs w:val="24"/>
        </w:rPr>
        <w:t xml:space="preserve"> have a duty to defend an attack to the validity of a trust</w:t>
      </w:r>
      <w:r w:rsidR="005A5BD9">
        <w:rPr>
          <w:szCs w:val="24"/>
        </w:rPr>
        <w:t>, nor is any cited by Petitioner</w:t>
      </w:r>
      <w:r w:rsidR="006A3F80">
        <w:rPr>
          <w:szCs w:val="24"/>
        </w:rPr>
        <w:t>.</w:t>
      </w:r>
    </w:p>
    <w:p w14:paraId="0C23F613" w14:textId="17908739" w:rsidR="00BF4AEA" w:rsidRPr="002659FB" w:rsidRDefault="002659FB" w:rsidP="002659FB">
      <w:pPr>
        <w:pStyle w:val="NoSpacing"/>
        <w:numPr>
          <w:ilvl w:val="0"/>
          <w:numId w:val="11"/>
        </w:numPr>
        <w:ind w:left="0" w:firstLine="720"/>
        <w:rPr>
          <w:szCs w:val="24"/>
        </w:rPr>
      </w:pPr>
      <w:r>
        <w:rPr>
          <w:szCs w:val="24"/>
        </w:rPr>
        <w:lastRenderedPageBreak/>
        <w:t>Complementary to the duty to defend the trust is the trustee’s ability to use trust assets to pay counsel fees</w:t>
      </w:r>
      <w:r w:rsidR="00056F8D">
        <w:rPr>
          <w:szCs w:val="24"/>
        </w:rPr>
        <w:t xml:space="preserve"> to defend the trust</w:t>
      </w:r>
      <w:r>
        <w:rPr>
          <w:szCs w:val="24"/>
        </w:rPr>
        <w:t xml:space="preserve">.  Although the Trust in this case is silent on this point, </w:t>
      </w:r>
      <w:r w:rsidR="0024224A">
        <w:rPr>
          <w:szCs w:val="24"/>
        </w:rPr>
        <w:t xml:space="preserve">the </w:t>
      </w:r>
      <w:r w:rsidR="00DF539E">
        <w:rPr>
          <w:szCs w:val="24"/>
        </w:rPr>
        <w:t>N</w:t>
      </w:r>
      <w:r w:rsidR="005B4D8E">
        <w:rPr>
          <w:szCs w:val="24"/>
        </w:rPr>
        <w:t xml:space="preserve">ew </w:t>
      </w:r>
      <w:r w:rsidR="00DF539E">
        <w:rPr>
          <w:szCs w:val="24"/>
        </w:rPr>
        <w:t>H</w:t>
      </w:r>
      <w:r w:rsidR="005B4D8E">
        <w:rPr>
          <w:szCs w:val="24"/>
        </w:rPr>
        <w:t xml:space="preserve">ampshire </w:t>
      </w:r>
      <w:r w:rsidR="0024224A">
        <w:rPr>
          <w:szCs w:val="24"/>
        </w:rPr>
        <w:t>T</w:t>
      </w:r>
      <w:r w:rsidR="005B4D8E">
        <w:rPr>
          <w:szCs w:val="24"/>
        </w:rPr>
        <w:t>rust Code (“NHTC”)</w:t>
      </w:r>
      <w:r w:rsidR="00805A91" w:rsidRPr="002659FB">
        <w:rPr>
          <w:szCs w:val="24"/>
        </w:rPr>
        <w:t xml:space="preserve"> contains default rules that apply in the absence of express terms </w:t>
      </w:r>
      <w:r w:rsidR="00360AAF" w:rsidRPr="002659FB">
        <w:rPr>
          <w:szCs w:val="24"/>
        </w:rPr>
        <w:t xml:space="preserve">in the Trust </w:t>
      </w:r>
      <w:r w:rsidR="00805A91" w:rsidRPr="002659FB">
        <w:rPr>
          <w:szCs w:val="24"/>
        </w:rPr>
        <w:t xml:space="preserve">to the contrary.  </w:t>
      </w:r>
      <w:r w:rsidR="00805A91" w:rsidRPr="002659FB">
        <w:rPr>
          <w:i/>
          <w:szCs w:val="24"/>
        </w:rPr>
        <w:t xml:space="preserve">See </w:t>
      </w:r>
      <w:r w:rsidR="00805A91" w:rsidRPr="002659FB">
        <w:rPr>
          <w:szCs w:val="24"/>
        </w:rPr>
        <w:t xml:space="preserve">RSA 564-B:1-105(a). </w:t>
      </w:r>
      <w:r w:rsidR="00A215D8">
        <w:rPr>
          <w:szCs w:val="24"/>
        </w:rPr>
        <w:t xml:space="preserve"> </w:t>
      </w:r>
      <w:r w:rsidR="00E872BF" w:rsidRPr="002659FB">
        <w:rPr>
          <w:szCs w:val="24"/>
        </w:rPr>
        <w:t xml:space="preserve">Here, </w:t>
      </w:r>
      <w:r w:rsidR="00056F8D">
        <w:rPr>
          <w:szCs w:val="24"/>
        </w:rPr>
        <w:t xml:space="preserve">the following </w:t>
      </w:r>
      <w:r w:rsidR="00DF539E">
        <w:rPr>
          <w:szCs w:val="24"/>
        </w:rPr>
        <w:t>NH</w:t>
      </w:r>
      <w:r w:rsidR="00805A91" w:rsidRPr="002659FB">
        <w:rPr>
          <w:szCs w:val="24"/>
        </w:rPr>
        <w:t>TC provisions</w:t>
      </w:r>
      <w:r w:rsidR="00E872BF" w:rsidRPr="002659FB">
        <w:rPr>
          <w:szCs w:val="24"/>
        </w:rPr>
        <w:t xml:space="preserve"> require</w:t>
      </w:r>
      <w:r w:rsidR="00056F8D">
        <w:rPr>
          <w:szCs w:val="24"/>
        </w:rPr>
        <w:t xml:space="preserve"> denial of Petitioner’s Motion</w:t>
      </w:r>
      <w:r w:rsidR="00E872BF" w:rsidRPr="002659FB">
        <w:rPr>
          <w:szCs w:val="24"/>
        </w:rPr>
        <w:t>:</w:t>
      </w:r>
      <w:r w:rsidR="00805A91" w:rsidRPr="002659FB">
        <w:rPr>
          <w:szCs w:val="24"/>
        </w:rPr>
        <w:t xml:space="preserve"> </w:t>
      </w:r>
    </w:p>
    <w:p w14:paraId="1DABB3C4" w14:textId="137E7B7C" w:rsidR="00805A91" w:rsidRPr="002659FB" w:rsidRDefault="002A3EC1" w:rsidP="002659FB">
      <w:pPr>
        <w:pStyle w:val="NoSpacing"/>
        <w:numPr>
          <w:ilvl w:val="1"/>
          <w:numId w:val="11"/>
        </w:numPr>
        <w:rPr>
          <w:szCs w:val="24"/>
        </w:rPr>
      </w:pPr>
      <w:r>
        <w:rPr>
          <w:szCs w:val="24"/>
        </w:rPr>
        <w:t>The Trustee m</w:t>
      </w:r>
      <w:r w:rsidR="001741FB">
        <w:rPr>
          <w:szCs w:val="24"/>
        </w:rPr>
        <w:t>ay r</w:t>
      </w:r>
      <w:r w:rsidR="00056F8D">
        <w:rPr>
          <w:szCs w:val="24"/>
        </w:rPr>
        <w:t xml:space="preserve">eceive </w:t>
      </w:r>
      <w:r w:rsidR="00E872BF">
        <w:rPr>
          <w:szCs w:val="24"/>
        </w:rPr>
        <w:t>reimbursement for expenses incurred during trust administration, either properly incurred</w:t>
      </w:r>
      <w:r w:rsidR="007663ED">
        <w:rPr>
          <w:szCs w:val="24"/>
        </w:rPr>
        <w:t>,</w:t>
      </w:r>
      <w:r w:rsidR="00E872BF">
        <w:rPr>
          <w:szCs w:val="24"/>
        </w:rPr>
        <w:t xml:space="preserve"> or not </w:t>
      </w:r>
      <w:r w:rsidR="007663ED">
        <w:rPr>
          <w:szCs w:val="24"/>
        </w:rPr>
        <w:t xml:space="preserve">properly incurred </w:t>
      </w:r>
      <w:r w:rsidR="00E872BF">
        <w:rPr>
          <w:szCs w:val="24"/>
        </w:rPr>
        <w:t>but necessary to prevent unjust enrichment of the trust</w:t>
      </w:r>
      <w:r w:rsidR="007663ED">
        <w:rPr>
          <w:szCs w:val="24"/>
        </w:rPr>
        <w:t xml:space="preserve"> (RSA 564-B:7-709(a)); </w:t>
      </w:r>
      <w:r w:rsidR="00D23817" w:rsidRPr="002659FB">
        <w:rPr>
          <w:szCs w:val="24"/>
        </w:rPr>
        <w:t>and</w:t>
      </w:r>
    </w:p>
    <w:p w14:paraId="1242311F" w14:textId="5358C23F" w:rsidR="00BF4AEA" w:rsidRDefault="002A3EC1" w:rsidP="00BF4AEA">
      <w:pPr>
        <w:pStyle w:val="NoSpacing"/>
        <w:numPr>
          <w:ilvl w:val="1"/>
          <w:numId w:val="11"/>
        </w:numPr>
        <w:rPr>
          <w:szCs w:val="24"/>
        </w:rPr>
      </w:pPr>
      <w:r>
        <w:rPr>
          <w:szCs w:val="24"/>
        </w:rPr>
        <w:t>The Trustee h</w:t>
      </w:r>
      <w:r w:rsidR="001741FB">
        <w:rPr>
          <w:szCs w:val="24"/>
        </w:rPr>
        <w:t xml:space="preserve">as the </w:t>
      </w:r>
      <w:r w:rsidR="004A0204">
        <w:rPr>
          <w:szCs w:val="24"/>
        </w:rPr>
        <w:t xml:space="preserve">authority to retain </w:t>
      </w:r>
      <w:r w:rsidR="00D86BF9">
        <w:rPr>
          <w:szCs w:val="24"/>
        </w:rPr>
        <w:t xml:space="preserve">legal </w:t>
      </w:r>
      <w:r w:rsidR="004A0204">
        <w:rPr>
          <w:szCs w:val="24"/>
        </w:rPr>
        <w:t>counsel to “advise or assist the trustee in the performance of the trustee’s administrative duties and to act without independent investigation upon their recommend</w:t>
      </w:r>
      <w:r w:rsidR="00D23817">
        <w:rPr>
          <w:szCs w:val="24"/>
        </w:rPr>
        <w:t>ations</w:t>
      </w:r>
      <w:r w:rsidR="00164401">
        <w:rPr>
          <w:szCs w:val="24"/>
        </w:rPr>
        <w:t>.</w:t>
      </w:r>
      <w:r w:rsidR="00D23817">
        <w:rPr>
          <w:szCs w:val="24"/>
        </w:rPr>
        <w:t>” (RSA 564-B:8-816(a)(27)</w:t>
      </w:r>
      <w:r w:rsidR="00C549A9">
        <w:rPr>
          <w:szCs w:val="24"/>
        </w:rPr>
        <w:t>)</w:t>
      </w:r>
      <w:r w:rsidR="00D23817">
        <w:rPr>
          <w:szCs w:val="24"/>
        </w:rPr>
        <w:t>.</w:t>
      </w:r>
    </w:p>
    <w:p w14:paraId="4766E17D" w14:textId="022BDD44" w:rsidR="00F23862" w:rsidRDefault="002659FB" w:rsidP="0092048F">
      <w:pPr>
        <w:pStyle w:val="NoSpacing"/>
        <w:numPr>
          <w:ilvl w:val="0"/>
          <w:numId w:val="11"/>
        </w:numPr>
        <w:ind w:left="0" w:firstLine="720"/>
        <w:rPr>
          <w:szCs w:val="24"/>
        </w:rPr>
      </w:pPr>
      <w:r>
        <w:rPr>
          <w:szCs w:val="24"/>
        </w:rPr>
        <w:t xml:space="preserve">It would be </w:t>
      </w:r>
      <w:r w:rsidR="001741FB">
        <w:rPr>
          <w:szCs w:val="24"/>
        </w:rPr>
        <w:t xml:space="preserve">patently </w:t>
      </w:r>
      <w:r>
        <w:rPr>
          <w:szCs w:val="24"/>
        </w:rPr>
        <w:t xml:space="preserve">unreasonable to require a trustee to defend a trust in order to give effect to the settlor’s intent, but not permit the trustee to use trust assets </w:t>
      </w:r>
      <w:r w:rsidR="00C549A9">
        <w:rPr>
          <w:szCs w:val="24"/>
        </w:rPr>
        <w:t xml:space="preserve">to do so.  The </w:t>
      </w:r>
      <w:r w:rsidR="00DF539E">
        <w:rPr>
          <w:szCs w:val="24"/>
        </w:rPr>
        <w:t>NHT</w:t>
      </w:r>
      <w:r w:rsidR="00C549A9">
        <w:rPr>
          <w:szCs w:val="24"/>
        </w:rPr>
        <w:t>C recognizes this by allowing for retention</w:t>
      </w:r>
      <w:r w:rsidR="00C64B84">
        <w:rPr>
          <w:szCs w:val="24"/>
        </w:rPr>
        <w:t xml:space="preserve"> </w:t>
      </w:r>
      <w:r w:rsidR="001741FB">
        <w:rPr>
          <w:szCs w:val="24"/>
        </w:rPr>
        <w:t xml:space="preserve">of </w:t>
      </w:r>
      <w:r w:rsidR="00C64B84">
        <w:rPr>
          <w:szCs w:val="24"/>
        </w:rPr>
        <w:t>counsel</w:t>
      </w:r>
      <w:r w:rsidR="00C549A9">
        <w:rPr>
          <w:szCs w:val="24"/>
        </w:rPr>
        <w:t xml:space="preserve"> and </w:t>
      </w:r>
      <w:r w:rsidR="001741FB">
        <w:rPr>
          <w:szCs w:val="24"/>
        </w:rPr>
        <w:t xml:space="preserve">their </w:t>
      </w:r>
      <w:r w:rsidR="00C64B84">
        <w:rPr>
          <w:szCs w:val="24"/>
        </w:rPr>
        <w:t xml:space="preserve">associated </w:t>
      </w:r>
      <w:r w:rsidR="00C549A9">
        <w:rPr>
          <w:szCs w:val="24"/>
        </w:rPr>
        <w:t>expenses pursuant to Sections 7-709 and 8-816 referenced above.</w:t>
      </w:r>
      <w:r w:rsidR="003C70A8">
        <w:rPr>
          <w:szCs w:val="24"/>
        </w:rPr>
        <w:t xml:space="preserve"> </w:t>
      </w:r>
      <w:r w:rsidR="00C549A9">
        <w:rPr>
          <w:szCs w:val="24"/>
        </w:rPr>
        <w:t xml:space="preserve"> </w:t>
      </w:r>
      <w:r w:rsidR="00D86BF9">
        <w:rPr>
          <w:szCs w:val="24"/>
        </w:rPr>
        <w:t>This is implicitly acknowledged by Petitioner in the Motion where he contends the applicable standard for determining “the propriety of payment of attorney’s fees is set forth at RSA 564-B:8-805,</w:t>
      </w:r>
      <w:r w:rsidR="00F23862">
        <w:rPr>
          <w:szCs w:val="24"/>
        </w:rPr>
        <w:t>”</w:t>
      </w:r>
      <w:r w:rsidR="00D86BF9">
        <w:rPr>
          <w:szCs w:val="24"/>
        </w:rPr>
        <w:t xml:space="preserve"> which requires</w:t>
      </w:r>
      <w:r w:rsidR="00F23862">
        <w:rPr>
          <w:szCs w:val="24"/>
        </w:rPr>
        <w:t xml:space="preserve"> trust expenses to be “reasonable.”  </w:t>
      </w:r>
      <w:r w:rsidR="00F23862">
        <w:rPr>
          <w:i/>
          <w:szCs w:val="24"/>
        </w:rPr>
        <w:t xml:space="preserve">See </w:t>
      </w:r>
      <w:r w:rsidR="00F23862" w:rsidRPr="00404F3F">
        <w:rPr>
          <w:i/>
          <w:szCs w:val="24"/>
        </w:rPr>
        <w:t>Petition to Invalidate Trust Pursuant to RSA 564-B:406</w:t>
      </w:r>
      <w:r w:rsidR="00F23862">
        <w:rPr>
          <w:i/>
          <w:szCs w:val="24"/>
        </w:rPr>
        <w:t xml:space="preserve"> </w:t>
      </w:r>
      <w:r w:rsidR="00F23862">
        <w:rPr>
          <w:szCs w:val="24"/>
        </w:rPr>
        <w:t>(“Petition”), ¶ 4.  Although Petitioner contends that costs associated with defending an attack</w:t>
      </w:r>
      <w:r w:rsidR="00F8686B">
        <w:rPr>
          <w:szCs w:val="24"/>
        </w:rPr>
        <w:t xml:space="preserve"> on the validity of the Trust are</w:t>
      </w:r>
      <w:r w:rsidR="00F23862">
        <w:rPr>
          <w:szCs w:val="24"/>
        </w:rPr>
        <w:t xml:space="preserve"> not reasonable, this ignores the Trustee’s duty to do so.  </w:t>
      </w:r>
    </w:p>
    <w:p w14:paraId="6EECD236" w14:textId="092EDE0A" w:rsidR="00125377" w:rsidRDefault="00C10806" w:rsidP="0092048F">
      <w:pPr>
        <w:pStyle w:val="NoSpacing"/>
        <w:numPr>
          <w:ilvl w:val="0"/>
          <w:numId w:val="11"/>
        </w:numPr>
        <w:ind w:left="0" w:firstLine="720"/>
        <w:rPr>
          <w:szCs w:val="24"/>
        </w:rPr>
      </w:pPr>
      <w:r>
        <w:rPr>
          <w:szCs w:val="24"/>
        </w:rPr>
        <w:t xml:space="preserve">Not only may reasonable counsel fees be paid by the trust as an element of trust administration, but counsel fees may also be awarded to a trustee at the conclusion of the </w:t>
      </w:r>
      <w:r>
        <w:rPr>
          <w:szCs w:val="24"/>
        </w:rPr>
        <w:lastRenderedPageBreak/>
        <w:t>litigation.</w:t>
      </w:r>
      <w:r w:rsidR="00731D29">
        <w:rPr>
          <w:szCs w:val="24"/>
        </w:rPr>
        <w:t xml:space="preserve"> </w:t>
      </w:r>
      <w:r w:rsidR="003C70A8">
        <w:rPr>
          <w:szCs w:val="24"/>
        </w:rPr>
        <w:t xml:space="preserve"> </w:t>
      </w:r>
      <w:r w:rsidR="00731D29">
        <w:rPr>
          <w:szCs w:val="24"/>
        </w:rPr>
        <w:t>RSA 564-B:</w:t>
      </w:r>
      <w:r w:rsidR="00CE7EFC">
        <w:rPr>
          <w:szCs w:val="24"/>
        </w:rPr>
        <w:t>10-1004 allows the Court to award “as justice and equity may require,” costs, expenses, and “reasonable attorney’s fees …</w:t>
      </w:r>
      <w:r w:rsidR="00BE317C">
        <w:rPr>
          <w:szCs w:val="24"/>
        </w:rPr>
        <w:t xml:space="preserve">to </w:t>
      </w:r>
      <w:r w:rsidR="00CE7EFC">
        <w:rPr>
          <w:szCs w:val="24"/>
        </w:rPr>
        <w:t>be paid by another party or from the trust that is the subject of the controversy</w:t>
      </w:r>
      <w:r w:rsidR="008559A8">
        <w:rPr>
          <w:szCs w:val="24"/>
        </w:rPr>
        <w:t>.</w:t>
      </w:r>
      <w:r w:rsidR="00CE7EFC">
        <w:rPr>
          <w:szCs w:val="24"/>
        </w:rPr>
        <w:t>”</w:t>
      </w:r>
      <w:r w:rsidR="008559A8">
        <w:rPr>
          <w:szCs w:val="24"/>
        </w:rPr>
        <w:t xml:space="preserve">  </w:t>
      </w:r>
      <w:r w:rsidR="00BE317C">
        <w:rPr>
          <w:szCs w:val="24"/>
        </w:rPr>
        <w:t xml:space="preserve">RSA 564-B:10-1004. </w:t>
      </w:r>
      <w:r w:rsidR="003C70A8">
        <w:rPr>
          <w:szCs w:val="24"/>
        </w:rPr>
        <w:t xml:space="preserve"> </w:t>
      </w:r>
      <w:r w:rsidR="007E0D6A">
        <w:rPr>
          <w:szCs w:val="24"/>
        </w:rPr>
        <w:t xml:space="preserve">Petitioner here is seeking to require the Trustee to </w:t>
      </w:r>
      <w:r w:rsidR="007E0D6A" w:rsidRPr="00360B5F">
        <w:rPr>
          <w:szCs w:val="24"/>
        </w:rPr>
        <w:t>personally</w:t>
      </w:r>
      <w:r w:rsidR="007E0D6A" w:rsidRPr="00D95A49">
        <w:rPr>
          <w:b/>
          <w:szCs w:val="24"/>
        </w:rPr>
        <w:t xml:space="preserve"> </w:t>
      </w:r>
      <w:r w:rsidR="007E0D6A">
        <w:rPr>
          <w:szCs w:val="24"/>
        </w:rPr>
        <w:t xml:space="preserve">pay for his litigation costs to defend the Trust and </w:t>
      </w:r>
      <w:r w:rsidR="002C635A">
        <w:rPr>
          <w:szCs w:val="24"/>
        </w:rPr>
        <w:t xml:space="preserve">give effect to </w:t>
      </w:r>
      <w:r w:rsidR="007E0D6A">
        <w:rPr>
          <w:szCs w:val="24"/>
        </w:rPr>
        <w:t xml:space="preserve">the </w:t>
      </w:r>
      <w:r w:rsidR="00404F3F">
        <w:rPr>
          <w:szCs w:val="24"/>
        </w:rPr>
        <w:t>s</w:t>
      </w:r>
      <w:r w:rsidR="007E0D6A">
        <w:rPr>
          <w:szCs w:val="24"/>
        </w:rPr>
        <w:t>ettlor</w:t>
      </w:r>
      <w:bookmarkStart w:id="0" w:name="_GoBack"/>
      <w:bookmarkEnd w:id="0"/>
      <w:r w:rsidR="007E0D6A">
        <w:rPr>
          <w:szCs w:val="24"/>
        </w:rPr>
        <w:t xml:space="preserve"> </w:t>
      </w:r>
      <w:r w:rsidR="00404F3F">
        <w:rPr>
          <w:szCs w:val="24"/>
        </w:rPr>
        <w:t xml:space="preserve">(“Settlor”) </w:t>
      </w:r>
      <w:r w:rsidR="007E0D6A">
        <w:rPr>
          <w:szCs w:val="24"/>
        </w:rPr>
        <w:t xml:space="preserve">wishes. </w:t>
      </w:r>
      <w:r w:rsidR="003C70A8">
        <w:rPr>
          <w:szCs w:val="24"/>
        </w:rPr>
        <w:t xml:space="preserve"> </w:t>
      </w:r>
      <w:r w:rsidR="00D95A49">
        <w:rPr>
          <w:i/>
          <w:szCs w:val="24"/>
        </w:rPr>
        <w:t>See</w:t>
      </w:r>
      <w:r w:rsidR="00D95A49">
        <w:rPr>
          <w:szCs w:val="24"/>
        </w:rPr>
        <w:t xml:space="preserve"> Motion, ¶ 7</w:t>
      </w:r>
      <w:r w:rsidR="00E32FD1">
        <w:rPr>
          <w:szCs w:val="24"/>
        </w:rPr>
        <w:t xml:space="preserve"> (emphasis added)</w:t>
      </w:r>
      <w:r w:rsidR="00D95A49">
        <w:rPr>
          <w:szCs w:val="24"/>
        </w:rPr>
        <w:t xml:space="preserve">.  </w:t>
      </w:r>
      <w:r>
        <w:rPr>
          <w:szCs w:val="24"/>
        </w:rPr>
        <w:t xml:space="preserve">However, that does not </w:t>
      </w:r>
      <w:r w:rsidR="00F8686B">
        <w:rPr>
          <w:szCs w:val="24"/>
        </w:rPr>
        <w:t>generally occur</w:t>
      </w:r>
      <w:r>
        <w:rPr>
          <w:szCs w:val="24"/>
        </w:rPr>
        <w:t xml:space="preserve"> under applicable law.</w:t>
      </w:r>
      <w:r w:rsidR="003C70A8">
        <w:rPr>
          <w:szCs w:val="24"/>
        </w:rPr>
        <w:t xml:space="preserve"> </w:t>
      </w:r>
      <w:r>
        <w:rPr>
          <w:szCs w:val="24"/>
        </w:rPr>
        <w:t xml:space="preserve"> </w:t>
      </w:r>
      <w:r w:rsidR="00D95A49">
        <w:rPr>
          <w:szCs w:val="24"/>
        </w:rPr>
        <w:t>“</w:t>
      </w:r>
      <w:r>
        <w:rPr>
          <w:szCs w:val="24"/>
        </w:rPr>
        <w:t>W</w:t>
      </w:r>
      <w:r w:rsidR="00D95A49">
        <w:rPr>
          <w:szCs w:val="24"/>
        </w:rPr>
        <w:t xml:space="preserve">hen acting in the proper exercise of [his] official duties, a trustee should not generally be held personally liable under the Uniform Trust Code for attorney’s fees incurred by any party.”  </w:t>
      </w:r>
      <w:r w:rsidR="00D95A49">
        <w:rPr>
          <w:i/>
          <w:szCs w:val="24"/>
        </w:rPr>
        <w:t xml:space="preserve">Shelton v. </w:t>
      </w:r>
      <w:proofErr w:type="spellStart"/>
      <w:r w:rsidR="00D95A49">
        <w:rPr>
          <w:i/>
          <w:szCs w:val="24"/>
        </w:rPr>
        <w:t>Tamposi</w:t>
      </w:r>
      <w:proofErr w:type="spellEnd"/>
      <w:r w:rsidR="00D95A49">
        <w:rPr>
          <w:szCs w:val="24"/>
        </w:rPr>
        <w:t xml:space="preserve">, 164 N.H. 490, 502 (2013).  </w:t>
      </w:r>
      <w:r w:rsidR="001D5F33">
        <w:rPr>
          <w:szCs w:val="24"/>
        </w:rPr>
        <w:t xml:space="preserve">  </w:t>
      </w:r>
    </w:p>
    <w:p w14:paraId="1AAE4903" w14:textId="32209042" w:rsidR="00BF4AEA" w:rsidRDefault="00BA1FE0" w:rsidP="0092048F">
      <w:pPr>
        <w:pStyle w:val="NoSpacing"/>
        <w:numPr>
          <w:ilvl w:val="0"/>
          <w:numId w:val="11"/>
        </w:numPr>
        <w:ind w:left="0" w:firstLine="720"/>
        <w:rPr>
          <w:szCs w:val="24"/>
        </w:rPr>
      </w:pPr>
      <w:r>
        <w:rPr>
          <w:szCs w:val="24"/>
        </w:rPr>
        <w:t xml:space="preserve">At the outset, Petitioner’s allegations in the </w:t>
      </w:r>
      <w:r w:rsidR="00404F3F">
        <w:rPr>
          <w:szCs w:val="24"/>
        </w:rPr>
        <w:t>Petition</w:t>
      </w:r>
      <w:r>
        <w:rPr>
          <w:szCs w:val="24"/>
        </w:rPr>
        <w:t xml:space="preserve"> do not amount to a </w:t>
      </w:r>
      <w:r w:rsidRPr="00BA1FE0">
        <w:rPr>
          <w:i/>
          <w:szCs w:val="24"/>
        </w:rPr>
        <w:t>finding</w:t>
      </w:r>
      <w:r>
        <w:rPr>
          <w:szCs w:val="24"/>
        </w:rPr>
        <w:t xml:space="preserve"> of undue influence or incapacity</w:t>
      </w:r>
      <w:r w:rsidR="001D5F33">
        <w:rPr>
          <w:szCs w:val="24"/>
        </w:rPr>
        <w:t xml:space="preserve"> (nor breach of a fiduciary duty or bad faith).  I</w:t>
      </w:r>
      <w:r w:rsidR="00125377">
        <w:rPr>
          <w:szCs w:val="24"/>
        </w:rPr>
        <w:t>nstead</w:t>
      </w:r>
      <w:r w:rsidR="001D5F33">
        <w:rPr>
          <w:szCs w:val="24"/>
        </w:rPr>
        <w:t>,</w:t>
      </w:r>
      <w:r w:rsidR="00125377">
        <w:rPr>
          <w:szCs w:val="24"/>
        </w:rPr>
        <w:t xml:space="preserve"> </w:t>
      </w:r>
      <w:r>
        <w:rPr>
          <w:szCs w:val="24"/>
        </w:rPr>
        <w:t>there is compelling evidence, attached to the Petition itself, that the drafting attorney for the Trust evaluated the Settlor’s presentation</w:t>
      </w:r>
      <w:r w:rsidR="00125377">
        <w:rPr>
          <w:szCs w:val="24"/>
        </w:rPr>
        <w:t xml:space="preserve"> and concluded she was “still fully competent” </w:t>
      </w:r>
      <w:r>
        <w:rPr>
          <w:szCs w:val="24"/>
        </w:rPr>
        <w:t>(she was “well-organized in her thoughts and presentation; she was completely oriented to person, place and time</w:t>
      </w:r>
      <w:r w:rsidR="00125377">
        <w:rPr>
          <w:szCs w:val="24"/>
        </w:rPr>
        <w:t>;</w:t>
      </w:r>
      <w:r>
        <w:rPr>
          <w:szCs w:val="24"/>
        </w:rPr>
        <w:t>” capable of recounting familial history and persons</w:t>
      </w:r>
      <w:r w:rsidR="00125377">
        <w:rPr>
          <w:szCs w:val="24"/>
        </w:rPr>
        <w:t>;</w:t>
      </w:r>
      <w:r w:rsidR="00CA516B">
        <w:rPr>
          <w:szCs w:val="24"/>
        </w:rPr>
        <w:t xml:space="preserve"> </w:t>
      </w:r>
      <w:r w:rsidR="00125377">
        <w:rPr>
          <w:szCs w:val="24"/>
        </w:rPr>
        <w:t xml:space="preserve">and </w:t>
      </w:r>
      <w:r w:rsidR="001D5F33">
        <w:rPr>
          <w:szCs w:val="24"/>
        </w:rPr>
        <w:t xml:space="preserve">articulate and </w:t>
      </w:r>
      <w:r w:rsidR="00CA516B">
        <w:rPr>
          <w:szCs w:val="24"/>
        </w:rPr>
        <w:t>expressive of her reasons for changing her estate plans</w:t>
      </w:r>
      <w:r w:rsidR="00125377">
        <w:rPr>
          <w:szCs w:val="24"/>
        </w:rPr>
        <w:t>).</w:t>
      </w:r>
      <w:r w:rsidR="00CA516B">
        <w:rPr>
          <w:szCs w:val="24"/>
        </w:rPr>
        <w:t xml:space="preserve">  </w:t>
      </w:r>
      <w:r w:rsidR="00CA516B">
        <w:rPr>
          <w:i/>
          <w:szCs w:val="24"/>
        </w:rPr>
        <w:t xml:space="preserve">See </w:t>
      </w:r>
      <w:r w:rsidR="00CA516B" w:rsidRPr="00404F3F">
        <w:rPr>
          <w:szCs w:val="24"/>
        </w:rPr>
        <w:t>Petition</w:t>
      </w:r>
      <w:r w:rsidR="00CA516B">
        <w:rPr>
          <w:szCs w:val="24"/>
        </w:rPr>
        <w:t xml:space="preserve">, Exhibit A.  </w:t>
      </w:r>
      <w:r w:rsidR="00125377">
        <w:rPr>
          <w:szCs w:val="24"/>
        </w:rPr>
        <w:t xml:space="preserve">The Settlor further expressed to her counsel that she wanted to disinherit Petitioner entirely.  </w:t>
      </w:r>
      <w:r w:rsidR="00125377">
        <w:rPr>
          <w:i/>
          <w:szCs w:val="24"/>
        </w:rPr>
        <w:t>See id</w:t>
      </w:r>
      <w:r w:rsidR="00125377">
        <w:rPr>
          <w:szCs w:val="24"/>
        </w:rPr>
        <w:t>.  The thrust of Petitioner’s allegations</w:t>
      </w:r>
      <w:r w:rsidR="00D901E2">
        <w:rPr>
          <w:szCs w:val="24"/>
        </w:rPr>
        <w:t xml:space="preserve"> in the Petition</w:t>
      </w:r>
      <w:r w:rsidR="00125377">
        <w:rPr>
          <w:szCs w:val="24"/>
        </w:rPr>
        <w:t xml:space="preserve"> </w:t>
      </w:r>
      <w:r w:rsidR="00F8686B">
        <w:rPr>
          <w:szCs w:val="24"/>
        </w:rPr>
        <w:t xml:space="preserve">is </w:t>
      </w:r>
      <w:r w:rsidR="00125377">
        <w:rPr>
          <w:szCs w:val="24"/>
        </w:rPr>
        <w:t xml:space="preserve">that he had a better relationship with Settlor than she described to her counsel, however Petitioner’s disagreement with Settlor’s characterizations about </w:t>
      </w:r>
      <w:r w:rsidR="00D901E2">
        <w:rPr>
          <w:szCs w:val="24"/>
        </w:rPr>
        <w:t xml:space="preserve">their relationship, </w:t>
      </w:r>
      <w:r w:rsidR="00125377">
        <w:rPr>
          <w:szCs w:val="24"/>
        </w:rPr>
        <w:t>his behavior, or reasons therefore, do not provide the kind of circumstances that justify requiring the Trustee to personally pay to defend the Trust against Petitioner’s action</w:t>
      </w:r>
      <w:r w:rsidR="00BA0A82">
        <w:rPr>
          <w:szCs w:val="24"/>
        </w:rPr>
        <w:t>, particularly where the Court has nothing but unproven allegations to consider in making such a determination</w:t>
      </w:r>
      <w:r w:rsidR="00125377">
        <w:rPr>
          <w:szCs w:val="24"/>
        </w:rPr>
        <w:t>.</w:t>
      </w:r>
      <w:r w:rsidR="001C1F70">
        <w:rPr>
          <w:szCs w:val="24"/>
        </w:rPr>
        <w:t xml:space="preserve">  </w:t>
      </w:r>
    </w:p>
    <w:p w14:paraId="763186EF" w14:textId="77777777" w:rsidR="00E1444E" w:rsidRDefault="00E85438" w:rsidP="008F39BD">
      <w:pPr>
        <w:pStyle w:val="NoSpacing"/>
        <w:numPr>
          <w:ilvl w:val="0"/>
          <w:numId w:val="11"/>
        </w:numPr>
        <w:ind w:left="0" w:firstLine="720"/>
        <w:rPr>
          <w:szCs w:val="24"/>
        </w:rPr>
      </w:pPr>
      <w:r w:rsidRPr="0006312B">
        <w:rPr>
          <w:szCs w:val="24"/>
        </w:rPr>
        <w:lastRenderedPageBreak/>
        <w:t>In addition, the Court has historically allowed an award of counsel fees in favor of a trustee where “the litigation is conducted in good faith for the primary benefit of the trust as a whole in relation to substantial and material issues essential to the administration of the trust</w:t>
      </w:r>
      <w:r w:rsidR="009C42DC">
        <w:rPr>
          <w:szCs w:val="24"/>
        </w:rPr>
        <w:t xml:space="preserve"> . . . </w:t>
      </w:r>
      <w:r w:rsidR="0006312B">
        <w:rPr>
          <w:szCs w:val="24"/>
        </w:rPr>
        <w:t>[w]here the parties seeking fees take positions to defeat a trust (or will) they are not entitled to an allowance of fees</w:t>
      </w:r>
      <w:r w:rsidR="009C42DC">
        <w:rPr>
          <w:szCs w:val="24"/>
        </w:rPr>
        <w:t xml:space="preserve"> out of the trust property . . . </w:t>
      </w:r>
      <w:r w:rsidR="00472218">
        <w:rPr>
          <w:szCs w:val="24"/>
        </w:rPr>
        <w:t>the inquiry is whether the [ ] primary motive was to benefit the estate</w:t>
      </w:r>
      <w:r w:rsidR="00F63810">
        <w:rPr>
          <w:szCs w:val="24"/>
        </w:rPr>
        <w:t xml:space="preserve"> </w:t>
      </w:r>
      <w:r w:rsidR="00404F3F">
        <w:rPr>
          <w:szCs w:val="24"/>
        </w:rPr>
        <w:t>[or trust]</w:t>
      </w:r>
      <w:r w:rsidR="00472218">
        <w:rPr>
          <w:szCs w:val="24"/>
        </w:rPr>
        <w:t xml:space="preserve"> as a whole or themselves.</w:t>
      </w:r>
      <w:r w:rsidRPr="0006312B">
        <w:rPr>
          <w:szCs w:val="24"/>
        </w:rPr>
        <w:t xml:space="preserve">”  </w:t>
      </w:r>
      <w:r w:rsidR="0006312B" w:rsidRPr="0006312B">
        <w:rPr>
          <w:i/>
          <w:szCs w:val="24"/>
        </w:rPr>
        <w:t>In re Estate of King</w:t>
      </w:r>
      <w:r w:rsidR="0006312B" w:rsidRPr="0006312B">
        <w:rPr>
          <w:szCs w:val="24"/>
        </w:rPr>
        <w:t>, 151 N.H. 425, 434 (2004);</w:t>
      </w:r>
      <w:r w:rsidR="00472218">
        <w:rPr>
          <w:szCs w:val="24"/>
        </w:rPr>
        <w:t xml:space="preserve"> citing</w:t>
      </w:r>
      <w:r w:rsidR="0006312B" w:rsidRPr="0006312B">
        <w:rPr>
          <w:szCs w:val="24"/>
        </w:rPr>
        <w:t xml:space="preserve"> </w:t>
      </w:r>
      <w:r w:rsidR="0006312B" w:rsidRPr="0006312B">
        <w:rPr>
          <w:i/>
          <w:szCs w:val="24"/>
        </w:rPr>
        <w:t xml:space="preserve">In re </w:t>
      </w:r>
      <w:proofErr w:type="spellStart"/>
      <w:r w:rsidR="0006312B" w:rsidRPr="0006312B">
        <w:rPr>
          <w:i/>
          <w:szCs w:val="24"/>
        </w:rPr>
        <w:t>Dumaine</w:t>
      </w:r>
      <w:proofErr w:type="spellEnd"/>
      <w:r w:rsidR="0006312B" w:rsidRPr="0006312B">
        <w:rPr>
          <w:szCs w:val="24"/>
        </w:rPr>
        <w:t>, 135 N.H. 103, 110 (1991);</w:t>
      </w:r>
      <w:r w:rsidR="00F63810">
        <w:rPr>
          <w:szCs w:val="24"/>
        </w:rPr>
        <w:t xml:space="preserve"> </w:t>
      </w:r>
      <w:r w:rsidR="00F63810">
        <w:rPr>
          <w:i/>
          <w:szCs w:val="24"/>
        </w:rPr>
        <w:t>see also</w:t>
      </w:r>
      <w:r w:rsidR="0006312B" w:rsidRPr="0006312B">
        <w:rPr>
          <w:szCs w:val="24"/>
        </w:rPr>
        <w:t xml:space="preserve"> </w:t>
      </w:r>
      <w:r w:rsidR="0006312B" w:rsidRPr="0006312B">
        <w:rPr>
          <w:i/>
          <w:szCs w:val="24"/>
        </w:rPr>
        <w:t xml:space="preserve">Silva v. </w:t>
      </w:r>
      <w:proofErr w:type="spellStart"/>
      <w:r w:rsidR="0006312B" w:rsidRPr="0006312B">
        <w:rPr>
          <w:i/>
          <w:szCs w:val="24"/>
        </w:rPr>
        <w:t>Botsch</w:t>
      </w:r>
      <w:proofErr w:type="spellEnd"/>
      <w:r w:rsidR="0006312B" w:rsidRPr="0006312B">
        <w:rPr>
          <w:szCs w:val="24"/>
        </w:rPr>
        <w:t>, 121 N.H. 1041, 1044 (1981)</w:t>
      </w:r>
      <w:r w:rsidR="002C4612">
        <w:rPr>
          <w:szCs w:val="24"/>
        </w:rPr>
        <w:t xml:space="preserve"> (expanding rule that fee award in favor of trustee for litigation for the benefit of the trust may apply to </w:t>
      </w:r>
      <w:r w:rsidR="00936B71">
        <w:rPr>
          <w:szCs w:val="24"/>
        </w:rPr>
        <w:t xml:space="preserve">elected </w:t>
      </w:r>
      <w:r w:rsidR="002C4612">
        <w:rPr>
          <w:szCs w:val="24"/>
        </w:rPr>
        <w:t>public officials</w:t>
      </w:r>
      <w:r w:rsidR="00936B71">
        <w:rPr>
          <w:szCs w:val="24"/>
        </w:rPr>
        <w:t>, who serve as a “public trustee,”</w:t>
      </w:r>
      <w:r w:rsidR="002C4612">
        <w:rPr>
          <w:szCs w:val="24"/>
        </w:rPr>
        <w:t xml:space="preserve"> </w:t>
      </w:r>
      <w:r w:rsidR="00936B71">
        <w:rPr>
          <w:szCs w:val="24"/>
        </w:rPr>
        <w:t>and</w:t>
      </w:r>
      <w:r w:rsidR="002C4612">
        <w:rPr>
          <w:szCs w:val="24"/>
        </w:rPr>
        <w:t xml:space="preserve"> successfully defend themselves against removal from office</w:t>
      </w:r>
      <w:r w:rsidR="00936B71">
        <w:rPr>
          <w:szCs w:val="24"/>
        </w:rPr>
        <w:t>)</w:t>
      </w:r>
      <w:r w:rsidR="0006312B" w:rsidRPr="0006312B">
        <w:rPr>
          <w:szCs w:val="24"/>
        </w:rPr>
        <w:t xml:space="preserve">; </w:t>
      </w:r>
      <w:r w:rsidRPr="0006312B">
        <w:rPr>
          <w:i/>
          <w:szCs w:val="24"/>
        </w:rPr>
        <w:t>Concord Nat. Bank v. Haverhill</w:t>
      </w:r>
      <w:r w:rsidRPr="0006312B">
        <w:rPr>
          <w:szCs w:val="24"/>
        </w:rPr>
        <w:t>, 101 N.H. 416, 419 (1958)</w:t>
      </w:r>
      <w:r w:rsidR="00B93502">
        <w:rPr>
          <w:szCs w:val="24"/>
        </w:rPr>
        <w:t xml:space="preserve"> </w:t>
      </w:r>
      <w:r w:rsidR="00936B71">
        <w:rPr>
          <w:szCs w:val="24"/>
        </w:rPr>
        <w:t>(</w:t>
      </w:r>
      <w:r w:rsidR="000A1DA5">
        <w:rPr>
          <w:szCs w:val="24"/>
        </w:rPr>
        <w:t>respondents’ allowed counsel fees where they participated in litigation to give effect to terms of charitable testamentary trust, which was a ‘service to the trust and an aid to the Court’).</w:t>
      </w:r>
      <w:r w:rsidRPr="0006312B">
        <w:rPr>
          <w:szCs w:val="24"/>
        </w:rPr>
        <w:t xml:space="preserve"> </w:t>
      </w:r>
      <w:r w:rsidR="00450CFC">
        <w:rPr>
          <w:szCs w:val="24"/>
        </w:rPr>
        <w:t xml:space="preserve"> </w:t>
      </w:r>
    </w:p>
    <w:p w14:paraId="0345035B" w14:textId="798A3E5A" w:rsidR="0006312B" w:rsidRPr="0006312B" w:rsidRDefault="00450CFC" w:rsidP="008F39BD">
      <w:pPr>
        <w:pStyle w:val="NoSpacing"/>
        <w:numPr>
          <w:ilvl w:val="0"/>
          <w:numId w:val="11"/>
        </w:numPr>
        <w:ind w:left="0" w:firstLine="720"/>
        <w:rPr>
          <w:szCs w:val="24"/>
        </w:rPr>
      </w:pPr>
      <w:r>
        <w:rPr>
          <w:szCs w:val="24"/>
        </w:rPr>
        <w:t>In other words, the Trustee could be awarded counsel fees at the conclusion of the litigation</w:t>
      </w:r>
      <w:r w:rsidR="00E1444E">
        <w:rPr>
          <w:szCs w:val="24"/>
        </w:rPr>
        <w:t xml:space="preserve">, if they were sought and </w:t>
      </w:r>
      <w:r>
        <w:rPr>
          <w:szCs w:val="24"/>
        </w:rPr>
        <w:t>the Court determined t</w:t>
      </w:r>
      <w:r w:rsidR="00E1444E">
        <w:rPr>
          <w:szCs w:val="24"/>
        </w:rPr>
        <w:t xml:space="preserve">he Trustee </w:t>
      </w:r>
      <w:r>
        <w:rPr>
          <w:szCs w:val="24"/>
        </w:rPr>
        <w:t xml:space="preserve">acted in good faith for the benefit of the </w:t>
      </w:r>
      <w:r w:rsidR="00E1444E">
        <w:rPr>
          <w:szCs w:val="24"/>
        </w:rPr>
        <w:t>T</w:t>
      </w:r>
      <w:r>
        <w:rPr>
          <w:szCs w:val="24"/>
        </w:rPr>
        <w:t xml:space="preserve">rust as a whole.  If the Trust is upheld as valid, then the Settlor’s wishes will be given effect and </w:t>
      </w:r>
      <w:r w:rsidR="00A27BDA">
        <w:rPr>
          <w:szCs w:val="24"/>
        </w:rPr>
        <w:t xml:space="preserve">trust property will be distributed according to the terms of the Trust, which benefits the Trust as a whole. Where this </w:t>
      </w:r>
      <w:r w:rsidR="00E1444E">
        <w:rPr>
          <w:szCs w:val="24"/>
        </w:rPr>
        <w:t xml:space="preserve">case is </w:t>
      </w:r>
      <w:r w:rsidR="00A27BDA">
        <w:rPr>
          <w:szCs w:val="24"/>
        </w:rPr>
        <w:t xml:space="preserve">at </w:t>
      </w:r>
      <w:r w:rsidR="00E1444E">
        <w:rPr>
          <w:szCs w:val="24"/>
        </w:rPr>
        <w:t>an early stage of the litigation</w:t>
      </w:r>
      <w:r w:rsidR="00A27BDA">
        <w:rPr>
          <w:szCs w:val="24"/>
        </w:rPr>
        <w:t>, it would not be appropriate to order the Trustee to pay his own litigation costs now.</w:t>
      </w:r>
    </w:p>
    <w:p w14:paraId="2AA0B855" w14:textId="135CB640" w:rsidR="00E85438" w:rsidRPr="007A0202" w:rsidRDefault="00BE4EBA" w:rsidP="007A0202">
      <w:pPr>
        <w:pStyle w:val="NoSpacing"/>
        <w:numPr>
          <w:ilvl w:val="0"/>
          <w:numId w:val="11"/>
        </w:numPr>
        <w:ind w:left="0" w:firstLine="720"/>
        <w:rPr>
          <w:szCs w:val="24"/>
        </w:rPr>
      </w:pPr>
      <w:r>
        <w:rPr>
          <w:szCs w:val="24"/>
        </w:rPr>
        <w:t xml:space="preserve">Finally, </w:t>
      </w:r>
      <w:r w:rsidR="0058419D">
        <w:rPr>
          <w:szCs w:val="24"/>
        </w:rPr>
        <w:t xml:space="preserve">Petitioner </w:t>
      </w:r>
      <w:r w:rsidR="002E3545">
        <w:rPr>
          <w:szCs w:val="24"/>
        </w:rPr>
        <w:t>erroneously contends the Trustee is participating in the litigation for his own persona</w:t>
      </w:r>
      <w:r w:rsidR="00265093">
        <w:rPr>
          <w:szCs w:val="24"/>
        </w:rPr>
        <w:t>l</w:t>
      </w:r>
      <w:r w:rsidR="002E3545">
        <w:rPr>
          <w:szCs w:val="24"/>
        </w:rPr>
        <w:t xml:space="preserve"> benefit, which is at odds with his duty of impartiality, and in conflict with his fiduciary duties.  </w:t>
      </w:r>
      <w:r w:rsidR="002E3545">
        <w:rPr>
          <w:i/>
          <w:szCs w:val="24"/>
        </w:rPr>
        <w:t>See</w:t>
      </w:r>
      <w:r w:rsidR="002E3545">
        <w:rPr>
          <w:szCs w:val="24"/>
        </w:rPr>
        <w:t xml:space="preserve"> Motion, ¶¶ 6, 7.  However, such allegations are without merit, or supported by any relevant authority.  They ignore the Trustee’s duty to defend the Trust </w:t>
      </w:r>
      <w:r w:rsidR="002E3545">
        <w:rPr>
          <w:szCs w:val="24"/>
        </w:rPr>
        <w:lastRenderedPageBreak/>
        <w:t>against attacks such as those mounted in the Petition</w:t>
      </w:r>
      <w:r w:rsidR="00265093">
        <w:rPr>
          <w:szCs w:val="24"/>
        </w:rPr>
        <w:t>, in which the Petitioner is seeki</w:t>
      </w:r>
      <w:r w:rsidR="001C1F70">
        <w:rPr>
          <w:szCs w:val="24"/>
        </w:rPr>
        <w:t xml:space="preserve">ng to </w:t>
      </w:r>
      <w:r w:rsidR="00265093" w:rsidRPr="007A0202">
        <w:rPr>
          <w:szCs w:val="24"/>
        </w:rPr>
        <w:t xml:space="preserve">invalidate the Trust for </w:t>
      </w:r>
      <w:r w:rsidR="00265093" w:rsidRPr="007A0202">
        <w:rPr>
          <w:szCs w:val="24"/>
          <w:u w:val="single"/>
        </w:rPr>
        <w:t>his</w:t>
      </w:r>
      <w:r w:rsidR="00265093" w:rsidRPr="007A0202">
        <w:rPr>
          <w:szCs w:val="24"/>
        </w:rPr>
        <w:t xml:space="preserve"> personal benefit.  </w:t>
      </w:r>
      <w:r w:rsidR="00E85438" w:rsidRPr="007A0202">
        <w:rPr>
          <w:i/>
          <w:szCs w:val="24"/>
        </w:rPr>
        <w:t xml:space="preserve">See </w:t>
      </w:r>
      <w:r w:rsidR="00E85438" w:rsidRPr="007A0202">
        <w:rPr>
          <w:szCs w:val="24"/>
        </w:rPr>
        <w:t xml:space="preserve">Petition, ¶ 16. </w:t>
      </w:r>
      <w:r w:rsidR="00D919CE" w:rsidRPr="007A0202">
        <w:rPr>
          <w:szCs w:val="24"/>
        </w:rPr>
        <w:t xml:space="preserve"> The Trustee hired litigation counsel to defend the Trust from the challenge to its validity as permitted by the </w:t>
      </w:r>
      <w:r w:rsidR="00D901E2">
        <w:rPr>
          <w:szCs w:val="24"/>
        </w:rPr>
        <w:t>NH</w:t>
      </w:r>
      <w:r w:rsidR="00D919CE" w:rsidRPr="007A0202">
        <w:rPr>
          <w:szCs w:val="24"/>
        </w:rPr>
        <w:t xml:space="preserve">TC and applicable law.  Petitioner is attempting to conflate the role of counsel between defense of the Trustee and defense of </w:t>
      </w:r>
      <w:r w:rsidR="00F20C06">
        <w:rPr>
          <w:szCs w:val="24"/>
        </w:rPr>
        <w:t>the</w:t>
      </w:r>
      <w:r w:rsidR="00D919CE" w:rsidRPr="007A0202">
        <w:rPr>
          <w:szCs w:val="24"/>
        </w:rPr>
        <w:t xml:space="preserve"> beneficiary.  However, the </w:t>
      </w:r>
      <w:r w:rsidR="00D919CE" w:rsidRPr="00453FFA">
        <w:rPr>
          <w:i/>
          <w:szCs w:val="24"/>
        </w:rPr>
        <w:t>Appearances</w:t>
      </w:r>
      <w:r w:rsidR="00D919CE" w:rsidRPr="007A0202">
        <w:rPr>
          <w:szCs w:val="24"/>
        </w:rPr>
        <w:t xml:space="preserve"> on file with the Court make clear that undersigned counsel represent only the Trustee in his fiduciary capacity.  There is no merit to Petitioner’s allegations to the contrary, nor evidence, nor authority, to support the pro</w:t>
      </w:r>
      <w:r w:rsidR="00060E28" w:rsidRPr="007A0202">
        <w:rPr>
          <w:szCs w:val="24"/>
        </w:rPr>
        <w:t xml:space="preserve">positions raised in the Motion. </w:t>
      </w:r>
      <w:r w:rsidR="009C42DC">
        <w:rPr>
          <w:szCs w:val="24"/>
        </w:rPr>
        <w:t xml:space="preserve"> </w:t>
      </w:r>
      <w:r w:rsidR="00060E28" w:rsidRPr="007A0202">
        <w:rPr>
          <w:szCs w:val="24"/>
        </w:rPr>
        <w:t>As such, the Motion must be denied</w:t>
      </w:r>
      <w:r w:rsidR="007A0202" w:rsidRPr="007A0202">
        <w:rPr>
          <w:szCs w:val="24"/>
        </w:rPr>
        <w:t>.</w:t>
      </w:r>
    </w:p>
    <w:p w14:paraId="36A4570A" w14:textId="0C1D05D2" w:rsidR="00D919CE" w:rsidRDefault="00060E28" w:rsidP="006758C8">
      <w:pPr>
        <w:pStyle w:val="NoSpacing"/>
        <w:rPr>
          <w:szCs w:val="24"/>
        </w:rPr>
      </w:pPr>
      <w:r>
        <w:rPr>
          <w:szCs w:val="24"/>
        </w:rPr>
        <w:t>WHEREFORE, the Trustee respectfully requests this Honorable Court:</w:t>
      </w:r>
    </w:p>
    <w:p w14:paraId="13EEF09F" w14:textId="723AC69A" w:rsidR="00060E28" w:rsidRDefault="00060E28" w:rsidP="00060E28">
      <w:pPr>
        <w:pStyle w:val="NoSpacing"/>
        <w:numPr>
          <w:ilvl w:val="0"/>
          <w:numId w:val="12"/>
        </w:numPr>
        <w:rPr>
          <w:szCs w:val="24"/>
        </w:rPr>
      </w:pPr>
      <w:r>
        <w:rPr>
          <w:szCs w:val="24"/>
        </w:rPr>
        <w:t>Deny</w:t>
      </w:r>
      <w:r w:rsidR="006758C8">
        <w:rPr>
          <w:szCs w:val="24"/>
        </w:rPr>
        <w:t xml:space="preserve"> the Motion for Order Requiring </w:t>
      </w:r>
      <w:r w:rsidR="00642E47">
        <w:rPr>
          <w:szCs w:val="24"/>
        </w:rPr>
        <w:t>Beneficiary</w:t>
      </w:r>
      <w:r w:rsidR="006758C8">
        <w:rPr>
          <w:szCs w:val="24"/>
        </w:rPr>
        <w:t xml:space="preserve"> to Personally Pay the Trust’s Attorney’s Fees; and</w:t>
      </w:r>
    </w:p>
    <w:p w14:paraId="7D638CEC" w14:textId="6677B623" w:rsidR="006758C8" w:rsidRPr="0058419D" w:rsidRDefault="006758C8" w:rsidP="00060E28">
      <w:pPr>
        <w:pStyle w:val="NoSpacing"/>
        <w:numPr>
          <w:ilvl w:val="0"/>
          <w:numId w:val="12"/>
        </w:numPr>
        <w:rPr>
          <w:szCs w:val="24"/>
        </w:rPr>
      </w:pPr>
      <w:r>
        <w:rPr>
          <w:szCs w:val="24"/>
        </w:rPr>
        <w:t>Enter such other and further orders as justice and equity so require.</w:t>
      </w:r>
    </w:p>
    <w:p w14:paraId="6F71778D" w14:textId="76FD5D9F" w:rsidR="00453FFA" w:rsidRDefault="00453FFA">
      <w:pPr>
        <w:rPr>
          <w:rFonts w:eastAsia="Times New Roman"/>
          <w:color w:val="000000"/>
          <w:sz w:val="24"/>
          <w:szCs w:val="24"/>
        </w:rPr>
      </w:pPr>
      <w:r>
        <w:rPr>
          <w:szCs w:val="24"/>
        </w:rPr>
        <w:br w:type="page"/>
      </w:r>
    </w:p>
    <w:p w14:paraId="70FDA49B" w14:textId="77777777" w:rsidR="004D1878" w:rsidRDefault="004D1878" w:rsidP="004D1878">
      <w:pPr>
        <w:pStyle w:val="NoSpacing"/>
        <w:ind w:left="720" w:firstLine="0"/>
        <w:rPr>
          <w:szCs w:val="24"/>
        </w:rPr>
      </w:pPr>
    </w:p>
    <w:p w14:paraId="784D84B6" w14:textId="77777777" w:rsidR="0012608D" w:rsidRPr="0012608D" w:rsidRDefault="0012608D" w:rsidP="00F821F0">
      <w:pPr>
        <w:ind w:left="4050"/>
        <w:textAlignment w:val="baseline"/>
        <w:rPr>
          <w:sz w:val="24"/>
          <w:szCs w:val="24"/>
        </w:rPr>
      </w:pPr>
      <w:r w:rsidRPr="0012608D">
        <w:rPr>
          <w:sz w:val="24"/>
          <w:szCs w:val="24"/>
        </w:rPr>
        <w:t>Respectfully submitted,</w:t>
      </w:r>
    </w:p>
    <w:p w14:paraId="50E934A0" w14:textId="1CF07C36" w:rsidR="0012608D" w:rsidRPr="0012608D" w:rsidRDefault="0012608D" w:rsidP="0012608D">
      <w:pPr>
        <w:spacing w:before="288"/>
        <w:ind w:left="4050"/>
        <w:textAlignment w:val="baseline"/>
        <w:rPr>
          <w:caps/>
          <w:sz w:val="24"/>
          <w:szCs w:val="24"/>
        </w:rPr>
      </w:pPr>
      <w:r w:rsidRPr="0012608D">
        <w:rPr>
          <w:caps/>
          <w:sz w:val="24"/>
          <w:szCs w:val="24"/>
        </w:rPr>
        <w:t>Trustee,</w:t>
      </w:r>
    </w:p>
    <w:p w14:paraId="1D94B75E" w14:textId="77777777" w:rsidR="0012608D" w:rsidRPr="0012608D" w:rsidRDefault="0012608D" w:rsidP="0012608D">
      <w:pPr>
        <w:spacing w:before="293"/>
        <w:ind w:left="4050"/>
        <w:textAlignment w:val="baseline"/>
        <w:rPr>
          <w:sz w:val="24"/>
          <w:szCs w:val="24"/>
        </w:rPr>
      </w:pPr>
      <w:r w:rsidRPr="0012608D">
        <w:rPr>
          <w:sz w:val="24"/>
          <w:szCs w:val="24"/>
        </w:rPr>
        <w:t>By His Attorneys,</w:t>
      </w:r>
    </w:p>
    <w:p w14:paraId="6D4B516F" w14:textId="77777777" w:rsidR="0012608D" w:rsidRPr="0012608D" w:rsidRDefault="0012608D" w:rsidP="0012608D">
      <w:pPr>
        <w:spacing w:before="293"/>
        <w:ind w:left="4230" w:hanging="180"/>
        <w:textAlignment w:val="baseline"/>
        <w:rPr>
          <w:sz w:val="24"/>
          <w:szCs w:val="24"/>
        </w:rPr>
      </w:pPr>
      <w:proofErr w:type="spellStart"/>
      <w:r w:rsidRPr="0012608D">
        <w:rPr>
          <w:sz w:val="24"/>
          <w:szCs w:val="24"/>
        </w:rPr>
        <w:t>McLANE</w:t>
      </w:r>
      <w:proofErr w:type="spellEnd"/>
      <w:r w:rsidRPr="0012608D">
        <w:rPr>
          <w:sz w:val="24"/>
          <w:szCs w:val="24"/>
        </w:rPr>
        <w:t xml:space="preserve"> MIDDLETON,</w:t>
      </w:r>
      <w:r w:rsidRPr="0012608D">
        <w:rPr>
          <w:sz w:val="24"/>
          <w:szCs w:val="24"/>
        </w:rPr>
        <w:br/>
        <w:t>PROFESSIONAL ASSOCIATION</w:t>
      </w:r>
    </w:p>
    <w:p w14:paraId="7D8009AE" w14:textId="77777777" w:rsidR="0012608D" w:rsidRPr="0012608D" w:rsidRDefault="0012608D" w:rsidP="0012608D">
      <w:pPr>
        <w:rPr>
          <w:sz w:val="24"/>
          <w:szCs w:val="24"/>
        </w:rPr>
      </w:pPr>
    </w:p>
    <w:p w14:paraId="340049E1" w14:textId="4FDBEE6C" w:rsidR="0012608D" w:rsidRPr="0012608D" w:rsidRDefault="0012608D" w:rsidP="0012608D">
      <w:pPr>
        <w:rPr>
          <w:sz w:val="24"/>
          <w:szCs w:val="24"/>
        </w:rPr>
      </w:pPr>
      <w:r w:rsidRPr="0012608D">
        <w:rPr>
          <w:sz w:val="24"/>
          <w:szCs w:val="24"/>
        </w:rPr>
        <w:t xml:space="preserve">Date:  </w:t>
      </w:r>
      <w:r w:rsidR="00060E28">
        <w:rPr>
          <w:sz w:val="24"/>
          <w:szCs w:val="24"/>
        </w:rPr>
        <w:t>____________</w:t>
      </w:r>
      <w:r w:rsidRPr="0012608D">
        <w:rPr>
          <w:sz w:val="24"/>
          <w:szCs w:val="24"/>
        </w:rPr>
        <w:t xml:space="preserve">   </w:t>
      </w:r>
      <w:r w:rsidRPr="0012608D">
        <w:rPr>
          <w:sz w:val="24"/>
          <w:szCs w:val="24"/>
        </w:rPr>
        <w:tab/>
      </w:r>
      <w:r w:rsidRPr="0012608D">
        <w:rPr>
          <w:sz w:val="24"/>
          <w:szCs w:val="24"/>
        </w:rPr>
        <w:tab/>
        <w:t>By: _____________________________________</w:t>
      </w:r>
    </w:p>
    <w:p w14:paraId="0A1F0559" w14:textId="77777777" w:rsidR="0012608D" w:rsidRPr="0012608D" w:rsidRDefault="0012608D" w:rsidP="0012608D">
      <w:pPr>
        <w:ind w:left="3960"/>
        <w:rPr>
          <w:sz w:val="24"/>
          <w:szCs w:val="24"/>
        </w:rPr>
      </w:pPr>
      <w:r w:rsidRPr="0012608D">
        <w:rPr>
          <w:sz w:val="24"/>
          <w:szCs w:val="24"/>
        </w:rPr>
        <w:t>Ralph F. Holmes, NH Bar No. 1185</w:t>
      </w:r>
    </w:p>
    <w:p w14:paraId="631CDB2E" w14:textId="77777777" w:rsidR="0012608D" w:rsidRPr="0012608D" w:rsidRDefault="0012608D" w:rsidP="0012608D">
      <w:pPr>
        <w:ind w:left="3960"/>
        <w:rPr>
          <w:sz w:val="24"/>
          <w:szCs w:val="24"/>
        </w:rPr>
      </w:pPr>
      <w:r w:rsidRPr="0012608D">
        <w:rPr>
          <w:sz w:val="24"/>
          <w:szCs w:val="24"/>
        </w:rPr>
        <w:t>ralph.holmes@mclane.com</w:t>
      </w:r>
    </w:p>
    <w:p w14:paraId="65116839" w14:textId="77777777" w:rsidR="0012608D" w:rsidRPr="0012608D" w:rsidRDefault="0012608D" w:rsidP="0012608D">
      <w:pPr>
        <w:ind w:left="3960"/>
        <w:rPr>
          <w:sz w:val="24"/>
          <w:szCs w:val="24"/>
        </w:rPr>
      </w:pPr>
      <w:r w:rsidRPr="0012608D">
        <w:rPr>
          <w:sz w:val="24"/>
          <w:szCs w:val="24"/>
        </w:rPr>
        <w:t>Andrea J. Schweitzer, NH Bar No. 268933</w:t>
      </w:r>
    </w:p>
    <w:p w14:paraId="67D83DDA" w14:textId="77777777" w:rsidR="0012608D" w:rsidRPr="0012608D" w:rsidRDefault="0012608D" w:rsidP="0012608D">
      <w:pPr>
        <w:ind w:left="3960"/>
        <w:rPr>
          <w:sz w:val="24"/>
          <w:szCs w:val="24"/>
        </w:rPr>
      </w:pPr>
      <w:r w:rsidRPr="0012608D">
        <w:rPr>
          <w:sz w:val="24"/>
          <w:szCs w:val="24"/>
        </w:rPr>
        <w:t>andrea.schweitzer@mclane.com</w:t>
      </w:r>
    </w:p>
    <w:p w14:paraId="6DC9CAA8" w14:textId="77777777" w:rsidR="0012608D" w:rsidRPr="0012608D" w:rsidRDefault="0012608D" w:rsidP="0012608D">
      <w:pPr>
        <w:ind w:left="3960"/>
        <w:rPr>
          <w:sz w:val="24"/>
          <w:szCs w:val="24"/>
        </w:rPr>
      </w:pPr>
      <w:r w:rsidRPr="0012608D">
        <w:rPr>
          <w:sz w:val="24"/>
          <w:szCs w:val="24"/>
        </w:rPr>
        <w:t>900 Elm Street, P.O. Box 326</w:t>
      </w:r>
    </w:p>
    <w:p w14:paraId="71706F89" w14:textId="77777777" w:rsidR="0012608D" w:rsidRPr="0012608D" w:rsidRDefault="0012608D" w:rsidP="0012608D">
      <w:pPr>
        <w:ind w:left="3960"/>
        <w:rPr>
          <w:sz w:val="24"/>
          <w:szCs w:val="24"/>
        </w:rPr>
      </w:pPr>
      <w:r w:rsidRPr="0012608D">
        <w:rPr>
          <w:sz w:val="24"/>
          <w:szCs w:val="24"/>
        </w:rPr>
        <w:t>Manchester, New Hampshire 03105-0326</w:t>
      </w:r>
    </w:p>
    <w:p w14:paraId="68A541DF" w14:textId="6E9D1B2B" w:rsidR="0012608D" w:rsidRPr="004D1878" w:rsidRDefault="0012608D" w:rsidP="004D1878">
      <w:pPr>
        <w:ind w:left="3960"/>
        <w:rPr>
          <w:sz w:val="24"/>
          <w:szCs w:val="24"/>
        </w:rPr>
      </w:pPr>
      <w:r w:rsidRPr="0012608D">
        <w:rPr>
          <w:sz w:val="24"/>
          <w:szCs w:val="24"/>
        </w:rPr>
        <w:t>Telephone: 603.625.6464</w:t>
      </w:r>
    </w:p>
    <w:p w14:paraId="07F39F02" w14:textId="4DA74FBC" w:rsidR="00453FFA" w:rsidRDefault="00453FFA" w:rsidP="00453FFA">
      <w:pPr>
        <w:rPr>
          <w:b/>
          <w:bCs/>
          <w:caps/>
          <w:sz w:val="24"/>
          <w:szCs w:val="24"/>
          <w:u w:val="single"/>
        </w:rPr>
      </w:pPr>
    </w:p>
    <w:p w14:paraId="26AAC93F" w14:textId="0894DC4E" w:rsidR="00453FFA" w:rsidRDefault="00453FFA" w:rsidP="00453FFA">
      <w:pPr>
        <w:rPr>
          <w:b/>
          <w:bCs/>
          <w:caps/>
          <w:sz w:val="24"/>
          <w:szCs w:val="24"/>
          <w:u w:val="single"/>
        </w:rPr>
      </w:pPr>
    </w:p>
    <w:p w14:paraId="51D45BCD" w14:textId="65CF6B1A" w:rsidR="00453FFA" w:rsidRDefault="00453FFA" w:rsidP="00453FFA">
      <w:pPr>
        <w:rPr>
          <w:b/>
          <w:bCs/>
          <w:caps/>
          <w:sz w:val="24"/>
          <w:szCs w:val="24"/>
          <w:u w:val="single"/>
        </w:rPr>
      </w:pPr>
    </w:p>
    <w:p w14:paraId="614CC28C" w14:textId="77777777" w:rsidR="00453FFA" w:rsidRDefault="00453FFA" w:rsidP="00453FFA">
      <w:pPr>
        <w:rPr>
          <w:b/>
          <w:bCs/>
          <w:caps/>
          <w:sz w:val="24"/>
          <w:szCs w:val="24"/>
          <w:u w:val="single"/>
        </w:rPr>
      </w:pPr>
    </w:p>
    <w:sectPr w:rsidR="00453FFA" w:rsidSect="001253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B343F" w14:textId="77777777" w:rsidR="00E956E8" w:rsidRDefault="00E956E8" w:rsidP="00E956E8">
      <w:r>
        <w:separator/>
      </w:r>
    </w:p>
  </w:endnote>
  <w:endnote w:type="continuationSeparator" w:id="0">
    <w:p w14:paraId="4C24E296" w14:textId="77777777" w:rsidR="00E956E8" w:rsidRDefault="00E956E8" w:rsidP="00E9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F892" w14:textId="77777777" w:rsidR="00835520" w:rsidRDefault="00835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703429"/>
      <w:docPartObj>
        <w:docPartGallery w:val="Page Numbers (Bottom of Page)"/>
        <w:docPartUnique/>
      </w:docPartObj>
    </w:sdtPr>
    <w:sdtEndPr>
      <w:rPr>
        <w:noProof/>
      </w:rPr>
    </w:sdtEndPr>
    <w:sdtContent>
      <w:p w14:paraId="077FAEC8" w14:textId="252DA323" w:rsidR="00D059A2" w:rsidRDefault="00D059A2">
        <w:pPr>
          <w:pStyle w:val="Footer"/>
          <w:jc w:val="center"/>
        </w:pPr>
        <w:r>
          <w:fldChar w:fldCharType="begin"/>
        </w:r>
        <w:r>
          <w:instrText xml:space="preserve"> PAGE   \* MERGEFORMAT </w:instrText>
        </w:r>
        <w:r>
          <w:fldChar w:fldCharType="separate"/>
        </w:r>
        <w:r w:rsidR="00847F41">
          <w:rPr>
            <w:noProof/>
          </w:rPr>
          <w:t>- 3 -</w:t>
        </w:r>
        <w:r>
          <w:rPr>
            <w:noProof/>
          </w:rPr>
          <w:fldChar w:fldCharType="end"/>
        </w:r>
      </w:p>
    </w:sdtContent>
  </w:sdt>
  <w:p w14:paraId="4860EDAC" w14:textId="77777777" w:rsidR="00E956E8" w:rsidRPr="00D7332B" w:rsidRDefault="00E956E8" w:rsidP="00D73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37E0" w14:textId="77777777" w:rsidR="00835520" w:rsidRDefault="00835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9E0E" w14:textId="77777777" w:rsidR="00E956E8" w:rsidRDefault="00E956E8" w:rsidP="00E956E8">
      <w:r>
        <w:separator/>
      </w:r>
    </w:p>
  </w:footnote>
  <w:footnote w:type="continuationSeparator" w:id="0">
    <w:p w14:paraId="305D3B1E" w14:textId="77777777" w:rsidR="00E956E8" w:rsidRDefault="00E956E8" w:rsidP="00E95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93C0" w14:textId="77777777" w:rsidR="00835520" w:rsidRDefault="00835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AC1D" w14:textId="77777777" w:rsidR="00835520" w:rsidRDefault="00835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2FA9" w14:textId="77777777" w:rsidR="00835520" w:rsidRDefault="00835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A54"/>
    <w:multiLevelType w:val="multilevel"/>
    <w:tmpl w:val="8750AE1A"/>
    <w:lvl w:ilvl="0">
      <w:start w:val="23"/>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A6C97"/>
    <w:multiLevelType w:val="hybridMultilevel"/>
    <w:tmpl w:val="566E4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55A3"/>
    <w:multiLevelType w:val="multilevel"/>
    <w:tmpl w:val="48BA6A8E"/>
    <w:lvl w:ilvl="0">
      <w:start w:val="2"/>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B217C"/>
    <w:multiLevelType w:val="multilevel"/>
    <w:tmpl w:val="A4362646"/>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F6C0F"/>
    <w:multiLevelType w:val="hybridMultilevel"/>
    <w:tmpl w:val="26DAD664"/>
    <w:lvl w:ilvl="0" w:tplc="9348A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31AEE"/>
    <w:multiLevelType w:val="multilevel"/>
    <w:tmpl w:val="87A89CAC"/>
    <w:lvl w:ilvl="0">
      <w:start w:val="8"/>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3528C3"/>
    <w:multiLevelType w:val="multilevel"/>
    <w:tmpl w:val="DDF81C32"/>
    <w:lvl w:ilvl="0">
      <w:start w:val="39"/>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EC3F32"/>
    <w:multiLevelType w:val="multilevel"/>
    <w:tmpl w:val="65FE1FA0"/>
    <w:lvl w:ilvl="0">
      <w:start w:val="32"/>
      <w:numFmt w:val="decimal"/>
      <w:lvlText w:val="%1."/>
      <w:lvlJc w:val="left"/>
      <w:pPr>
        <w:tabs>
          <w:tab w:val="left" w:pos="79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546C88"/>
    <w:multiLevelType w:val="multilevel"/>
    <w:tmpl w:val="DFD20FB6"/>
    <w:lvl w:ilvl="0">
      <w:start w:val="19"/>
      <w:numFmt w:val="decimal"/>
      <w:lvlText w:val="%1."/>
      <w:lvlJc w:val="left"/>
      <w:pPr>
        <w:tabs>
          <w:tab w:val="left" w:pos="79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301DCD"/>
    <w:multiLevelType w:val="hybridMultilevel"/>
    <w:tmpl w:val="36605D42"/>
    <w:lvl w:ilvl="0" w:tplc="45182EE6">
      <w:start w:val="1"/>
      <w:numFmt w:val="decimal"/>
      <w:pStyle w:val="Heading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41C3"/>
    <w:multiLevelType w:val="multilevel"/>
    <w:tmpl w:val="3D3E0044"/>
    <w:lvl w:ilvl="0">
      <w:start w:val="15"/>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8B5254"/>
    <w:multiLevelType w:val="multilevel"/>
    <w:tmpl w:val="3C085C42"/>
    <w:lvl w:ilvl="0">
      <w:start w:val="12"/>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1"/>
  </w:num>
  <w:num w:numId="4">
    <w:abstractNumId w:val="10"/>
  </w:num>
  <w:num w:numId="5">
    <w:abstractNumId w:val="8"/>
  </w:num>
  <w:num w:numId="6">
    <w:abstractNumId w:val="0"/>
  </w:num>
  <w:num w:numId="7">
    <w:abstractNumId w:val="7"/>
  </w:num>
  <w:num w:numId="8">
    <w:abstractNumId w:val="6"/>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B0"/>
    <w:rsid w:val="000034C2"/>
    <w:rsid w:val="00013B73"/>
    <w:rsid w:val="00030277"/>
    <w:rsid w:val="0003108C"/>
    <w:rsid w:val="00056F8D"/>
    <w:rsid w:val="00060E28"/>
    <w:rsid w:val="0006312B"/>
    <w:rsid w:val="00070C73"/>
    <w:rsid w:val="00071BC4"/>
    <w:rsid w:val="00071CC1"/>
    <w:rsid w:val="000769FE"/>
    <w:rsid w:val="00080A42"/>
    <w:rsid w:val="00081910"/>
    <w:rsid w:val="00086D95"/>
    <w:rsid w:val="00094D08"/>
    <w:rsid w:val="000953E2"/>
    <w:rsid w:val="000A1C8F"/>
    <w:rsid w:val="000A1DA5"/>
    <w:rsid w:val="000A48D8"/>
    <w:rsid w:val="000B3614"/>
    <w:rsid w:val="000B578A"/>
    <w:rsid w:val="000B7108"/>
    <w:rsid w:val="000C2E32"/>
    <w:rsid w:val="000C4692"/>
    <w:rsid w:val="000C6EF2"/>
    <w:rsid w:val="000C6F2F"/>
    <w:rsid w:val="000D613D"/>
    <w:rsid w:val="000E013A"/>
    <w:rsid w:val="000F0041"/>
    <w:rsid w:val="000F515E"/>
    <w:rsid w:val="00105C7D"/>
    <w:rsid w:val="001114F2"/>
    <w:rsid w:val="001155F3"/>
    <w:rsid w:val="00125377"/>
    <w:rsid w:val="0012608D"/>
    <w:rsid w:val="00132820"/>
    <w:rsid w:val="00134265"/>
    <w:rsid w:val="0014354B"/>
    <w:rsid w:val="00145F97"/>
    <w:rsid w:val="001467D5"/>
    <w:rsid w:val="001534A7"/>
    <w:rsid w:val="00163BF7"/>
    <w:rsid w:val="00164401"/>
    <w:rsid w:val="001741FB"/>
    <w:rsid w:val="00176173"/>
    <w:rsid w:val="0018261F"/>
    <w:rsid w:val="00194AD9"/>
    <w:rsid w:val="001A3CA8"/>
    <w:rsid w:val="001A62DD"/>
    <w:rsid w:val="001A734D"/>
    <w:rsid w:val="001C0C47"/>
    <w:rsid w:val="001C1F70"/>
    <w:rsid w:val="001C4741"/>
    <w:rsid w:val="001D2C24"/>
    <w:rsid w:val="001D5F33"/>
    <w:rsid w:val="001D62F8"/>
    <w:rsid w:val="001F272A"/>
    <w:rsid w:val="001F624E"/>
    <w:rsid w:val="001F7FA8"/>
    <w:rsid w:val="0020441B"/>
    <w:rsid w:val="0021331A"/>
    <w:rsid w:val="00220EC2"/>
    <w:rsid w:val="002236F3"/>
    <w:rsid w:val="002243C0"/>
    <w:rsid w:val="002255F8"/>
    <w:rsid w:val="002267EB"/>
    <w:rsid w:val="00235D62"/>
    <w:rsid w:val="0024224A"/>
    <w:rsid w:val="0024257A"/>
    <w:rsid w:val="00251BE8"/>
    <w:rsid w:val="00260FA7"/>
    <w:rsid w:val="00261826"/>
    <w:rsid w:val="00265093"/>
    <w:rsid w:val="002659FB"/>
    <w:rsid w:val="00266115"/>
    <w:rsid w:val="00270CC0"/>
    <w:rsid w:val="00270D1E"/>
    <w:rsid w:val="00274E82"/>
    <w:rsid w:val="002771B8"/>
    <w:rsid w:val="00280C90"/>
    <w:rsid w:val="002A1C7B"/>
    <w:rsid w:val="002A3EC1"/>
    <w:rsid w:val="002A71B9"/>
    <w:rsid w:val="002B1BBD"/>
    <w:rsid w:val="002B4D2A"/>
    <w:rsid w:val="002C1190"/>
    <w:rsid w:val="002C295B"/>
    <w:rsid w:val="002C4612"/>
    <w:rsid w:val="002C635A"/>
    <w:rsid w:val="002E3545"/>
    <w:rsid w:val="002F169A"/>
    <w:rsid w:val="002F2E5F"/>
    <w:rsid w:val="00303133"/>
    <w:rsid w:val="00303FB0"/>
    <w:rsid w:val="00304E1A"/>
    <w:rsid w:val="003069AF"/>
    <w:rsid w:val="00311787"/>
    <w:rsid w:val="00314756"/>
    <w:rsid w:val="00314F14"/>
    <w:rsid w:val="00316785"/>
    <w:rsid w:val="00321558"/>
    <w:rsid w:val="00325B89"/>
    <w:rsid w:val="00335773"/>
    <w:rsid w:val="0034011B"/>
    <w:rsid w:val="00353330"/>
    <w:rsid w:val="00360AAF"/>
    <w:rsid w:val="00360B5F"/>
    <w:rsid w:val="003652B0"/>
    <w:rsid w:val="00375A19"/>
    <w:rsid w:val="00376B1D"/>
    <w:rsid w:val="00380EEC"/>
    <w:rsid w:val="00385716"/>
    <w:rsid w:val="00392CD7"/>
    <w:rsid w:val="0039763A"/>
    <w:rsid w:val="003A291B"/>
    <w:rsid w:val="003C6204"/>
    <w:rsid w:val="003C6D95"/>
    <w:rsid w:val="003C70A8"/>
    <w:rsid w:val="003D7A70"/>
    <w:rsid w:val="003E0142"/>
    <w:rsid w:val="003E2E8F"/>
    <w:rsid w:val="003F2238"/>
    <w:rsid w:val="00404F3F"/>
    <w:rsid w:val="00415089"/>
    <w:rsid w:val="00420E1E"/>
    <w:rsid w:val="004234A6"/>
    <w:rsid w:val="00434106"/>
    <w:rsid w:val="00435BEB"/>
    <w:rsid w:val="0044139C"/>
    <w:rsid w:val="00450CFC"/>
    <w:rsid w:val="004518FE"/>
    <w:rsid w:val="00453FFA"/>
    <w:rsid w:val="004648AD"/>
    <w:rsid w:val="004719A2"/>
    <w:rsid w:val="00472218"/>
    <w:rsid w:val="00474B55"/>
    <w:rsid w:val="004835E0"/>
    <w:rsid w:val="00485349"/>
    <w:rsid w:val="00493A47"/>
    <w:rsid w:val="00497A20"/>
    <w:rsid w:val="004A0204"/>
    <w:rsid w:val="004A1328"/>
    <w:rsid w:val="004A19D2"/>
    <w:rsid w:val="004A4AA1"/>
    <w:rsid w:val="004A59EE"/>
    <w:rsid w:val="004B7FC3"/>
    <w:rsid w:val="004C3B38"/>
    <w:rsid w:val="004C3F60"/>
    <w:rsid w:val="004C6442"/>
    <w:rsid w:val="004C7586"/>
    <w:rsid w:val="004D1878"/>
    <w:rsid w:val="004E2439"/>
    <w:rsid w:val="004E2FD5"/>
    <w:rsid w:val="004E3574"/>
    <w:rsid w:val="004F2329"/>
    <w:rsid w:val="00500BF8"/>
    <w:rsid w:val="00515C3A"/>
    <w:rsid w:val="00527E5F"/>
    <w:rsid w:val="005309FF"/>
    <w:rsid w:val="005347D2"/>
    <w:rsid w:val="005437B2"/>
    <w:rsid w:val="005477CB"/>
    <w:rsid w:val="00553E4A"/>
    <w:rsid w:val="00557074"/>
    <w:rsid w:val="00561089"/>
    <w:rsid w:val="00561644"/>
    <w:rsid w:val="0056798A"/>
    <w:rsid w:val="0058419D"/>
    <w:rsid w:val="005A5BD9"/>
    <w:rsid w:val="005B4D8E"/>
    <w:rsid w:val="005C594A"/>
    <w:rsid w:val="005C6145"/>
    <w:rsid w:val="005D3365"/>
    <w:rsid w:val="005D4F68"/>
    <w:rsid w:val="005D7443"/>
    <w:rsid w:val="005D7446"/>
    <w:rsid w:val="005E6BB9"/>
    <w:rsid w:val="005F2EAB"/>
    <w:rsid w:val="005F30B7"/>
    <w:rsid w:val="005F421E"/>
    <w:rsid w:val="005F7D20"/>
    <w:rsid w:val="00606A82"/>
    <w:rsid w:val="0061550E"/>
    <w:rsid w:val="00621E71"/>
    <w:rsid w:val="00623DDD"/>
    <w:rsid w:val="006329CF"/>
    <w:rsid w:val="00635507"/>
    <w:rsid w:val="006429C4"/>
    <w:rsid w:val="00642E47"/>
    <w:rsid w:val="00644216"/>
    <w:rsid w:val="00651C36"/>
    <w:rsid w:val="00655112"/>
    <w:rsid w:val="00663C3C"/>
    <w:rsid w:val="00667F26"/>
    <w:rsid w:val="006758C8"/>
    <w:rsid w:val="00676430"/>
    <w:rsid w:val="006966AA"/>
    <w:rsid w:val="006A1582"/>
    <w:rsid w:val="006A32B9"/>
    <w:rsid w:val="006A3F80"/>
    <w:rsid w:val="006B2C1B"/>
    <w:rsid w:val="006C2C3B"/>
    <w:rsid w:val="006C3183"/>
    <w:rsid w:val="006D550B"/>
    <w:rsid w:val="006E4710"/>
    <w:rsid w:val="006F09C4"/>
    <w:rsid w:val="006F40DC"/>
    <w:rsid w:val="00704FD1"/>
    <w:rsid w:val="00713701"/>
    <w:rsid w:val="0072318B"/>
    <w:rsid w:val="0072393C"/>
    <w:rsid w:val="00726583"/>
    <w:rsid w:val="00731D29"/>
    <w:rsid w:val="00733852"/>
    <w:rsid w:val="00734B7A"/>
    <w:rsid w:val="007407E5"/>
    <w:rsid w:val="00741106"/>
    <w:rsid w:val="00745E0B"/>
    <w:rsid w:val="00754366"/>
    <w:rsid w:val="00757B9F"/>
    <w:rsid w:val="00763ECD"/>
    <w:rsid w:val="007663ED"/>
    <w:rsid w:val="00771E3F"/>
    <w:rsid w:val="00777AB5"/>
    <w:rsid w:val="007806A2"/>
    <w:rsid w:val="0078489A"/>
    <w:rsid w:val="00786229"/>
    <w:rsid w:val="00787ED8"/>
    <w:rsid w:val="007916EF"/>
    <w:rsid w:val="00792B76"/>
    <w:rsid w:val="00793907"/>
    <w:rsid w:val="00797B97"/>
    <w:rsid w:val="007A0202"/>
    <w:rsid w:val="007A31FA"/>
    <w:rsid w:val="007A6EF9"/>
    <w:rsid w:val="007B5B84"/>
    <w:rsid w:val="007B5D72"/>
    <w:rsid w:val="007C0DFB"/>
    <w:rsid w:val="007C24BA"/>
    <w:rsid w:val="007C2606"/>
    <w:rsid w:val="007C2AB0"/>
    <w:rsid w:val="007C39DF"/>
    <w:rsid w:val="007C6A0A"/>
    <w:rsid w:val="007D0690"/>
    <w:rsid w:val="007D08CC"/>
    <w:rsid w:val="007D15B7"/>
    <w:rsid w:val="007D2220"/>
    <w:rsid w:val="007E08EE"/>
    <w:rsid w:val="007E0D6A"/>
    <w:rsid w:val="007E261A"/>
    <w:rsid w:val="007F3FCE"/>
    <w:rsid w:val="007F6C78"/>
    <w:rsid w:val="0080213F"/>
    <w:rsid w:val="00805A91"/>
    <w:rsid w:val="008066B4"/>
    <w:rsid w:val="00815C81"/>
    <w:rsid w:val="008206D4"/>
    <w:rsid w:val="00835520"/>
    <w:rsid w:val="008441F8"/>
    <w:rsid w:val="0084688D"/>
    <w:rsid w:val="00847F41"/>
    <w:rsid w:val="00851FC0"/>
    <w:rsid w:val="00852140"/>
    <w:rsid w:val="008559A8"/>
    <w:rsid w:val="00856EAB"/>
    <w:rsid w:val="00857D36"/>
    <w:rsid w:val="00863CE7"/>
    <w:rsid w:val="0087150B"/>
    <w:rsid w:val="008825F1"/>
    <w:rsid w:val="00891845"/>
    <w:rsid w:val="00896383"/>
    <w:rsid w:val="008A0425"/>
    <w:rsid w:val="008A625B"/>
    <w:rsid w:val="008B52AA"/>
    <w:rsid w:val="008B6BFC"/>
    <w:rsid w:val="008C2DE2"/>
    <w:rsid w:val="008C2E47"/>
    <w:rsid w:val="008C38AE"/>
    <w:rsid w:val="008C45EC"/>
    <w:rsid w:val="008C460C"/>
    <w:rsid w:val="008E2947"/>
    <w:rsid w:val="008F2545"/>
    <w:rsid w:val="0090759F"/>
    <w:rsid w:val="00913A88"/>
    <w:rsid w:val="0092048F"/>
    <w:rsid w:val="009249F5"/>
    <w:rsid w:val="0092783F"/>
    <w:rsid w:val="00936B71"/>
    <w:rsid w:val="00942D56"/>
    <w:rsid w:val="00947F4D"/>
    <w:rsid w:val="00952457"/>
    <w:rsid w:val="00954271"/>
    <w:rsid w:val="0097074D"/>
    <w:rsid w:val="00997F02"/>
    <w:rsid w:val="009A7F24"/>
    <w:rsid w:val="009C2BA4"/>
    <w:rsid w:val="009C2CB6"/>
    <w:rsid w:val="009C32FC"/>
    <w:rsid w:val="009C42DC"/>
    <w:rsid w:val="009C5D00"/>
    <w:rsid w:val="009C72FF"/>
    <w:rsid w:val="009F30F7"/>
    <w:rsid w:val="009F527A"/>
    <w:rsid w:val="00A02A7E"/>
    <w:rsid w:val="00A068C8"/>
    <w:rsid w:val="00A215D8"/>
    <w:rsid w:val="00A27BDA"/>
    <w:rsid w:val="00A32AAF"/>
    <w:rsid w:val="00A4181F"/>
    <w:rsid w:val="00A42A01"/>
    <w:rsid w:val="00A454C9"/>
    <w:rsid w:val="00A51296"/>
    <w:rsid w:val="00A52BE2"/>
    <w:rsid w:val="00A6249F"/>
    <w:rsid w:val="00A67063"/>
    <w:rsid w:val="00A7389E"/>
    <w:rsid w:val="00A77B39"/>
    <w:rsid w:val="00A80C30"/>
    <w:rsid w:val="00A91B37"/>
    <w:rsid w:val="00AA0561"/>
    <w:rsid w:val="00AA76ED"/>
    <w:rsid w:val="00AE0994"/>
    <w:rsid w:val="00AF337C"/>
    <w:rsid w:val="00AF70A0"/>
    <w:rsid w:val="00AF7B30"/>
    <w:rsid w:val="00B147A7"/>
    <w:rsid w:val="00B16C5F"/>
    <w:rsid w:val="00B20A7C"/>
    <w:rsid w:val="00B224F4"/>
    <w:rsid w:val="00B229D5"/>
    <w:rsid w:val="00B2336B"/>
    <w:rsid w:val="00B23CB7"/>
    <w:rsid w:val="00B24076"/>
    <w:rsid w:val="00B24D31"/>
    <w:rsid w:val="00B355DC"/>
    <w:rsid w:val="00B35D5F"/>
    <w:rsid w:val="00B378E2"/>
    <w:rsid w:val="00B37A36"/>
    <w:rsid w:val="00B4537F"/>
    <w:rsid w:val="00B5007D"/>
    <w:rsid w:val="00B72858"/>
    <w:rsid w:val="00B750EE"/>
    <w:rsid w:val="00B76453"/>
    <w:rsid w:val="00B93502"/>
    <w:rsid w:val="00B94A43"/>
    <w:rsid w:val="00B9549E"/>
    <w:rsid w:val="00BA0A82"/>
    <w:rsid w:val="00BA1FE0"/>
    <w:rsid w:val="00BA2B8C"/>
    <w:rsid w:val="00BA7F87"/>
    <w:rsid w:val="00BB53CE"/>
    <w:rsid w:val="00BB7CBB"/>
    <w:rsid w:val="00BC6754"/>
    <w:rsid w:val="00BE317C"/>
    <w:rsid w:val="00BE4C74"/>
    <w:rsid w:val="00BE4EBA"/>
    <w:rsid w:val="00BE63CC"/>
    <w:rsid w:val="00BF4AEA"/>
    <w:rsid w:val="00C00C76"/>
    <w:rsid w:val="00C04458"/>
    <w:rsid w:val="00C10806"/>
    <w:rsid w:val="00C13198"/>
    <w:rsid w:val="00C235BB"/>
    <w:rsid w:val="00C2531E"/>
    <w:rsid w:val="00C3428A"/>
    <w:rsid w:val="00C40E41"/>
    <w:rsid w:val="00C549A9"/>
    <w:rsid w:val="00C55F6D"/>
    <w:rsid w:val="00C564D1"/>
    <w:rsid w:val="00C64B84"/>
    <w:rsid w:val="00C702B5"/>
    <w:rsid w:val="00C71FEA"/>
    <w:rsid w:val="00C7214F"/>
    <w:rsid w:val="00C75988"/>
    <w:rsid w:val="00C76583"/>
    <w:rsid w:val="00C8133D"/>
    <w:rsid w:val="00C8156B"/>
    <w:rsid w:val="00CA516B"/>
    <w:rsid w:val="00CC765A"/>
    <w:rsid w:val="00CD100F"/>
    <w:rsid w:val="00CD3C1C"/>
    <w:rsid w:val="00CE2F90"/>
    <w:rsid w:val="00CE4025"/>
    <w:rsid w:val="00CE7EFC"/>
    <w:rsid w:val="00CF6A77"/>
    <w:rsid w:val="00D03EFF"/>
    <w:rsid w:val="00D0426C"/>
    <w:rsid w:val="00D059A2"/>
    <w:rsid w:val="00D11A3B"/>
    <w:rsid w:val="00D21C65"/>
    <w:rsid w:val="00D23817"/>
    <w:rsid w:val="00D24818"/>
    <w:rsid w:val="00D416D6"/>
    <w:rsid w:val="00D45ECE"/>
    <w:rsid w:val="00D513F9"/>
    <w:rsid w:val="00D516BF"/>
    <w:rsid w:val="00D52FA2"/>
    <w:rsid w:val="00D5429A"/>
    <w:rsid w:val="00D57AD3"/>
    <w:rsid w:val="00D6138B"/>
    <w:rsid w:val="00D7332B"/>
    <w:rsid w:val="00D73390"/>
    <w:rsid w:val="00D744DE"/>
    <w:rsid w:val="00D81B6C"/>
    <w:rsid w:val="00D84251"/>
    <w:rsid w:val="00D86BF9"/>
    <w:rsid w:val="00D901E2"/>
    <w:rsid w:val="00D919CE"/>
    <w:rsid w:val="00D95A49"/>
    <w:rsid w:val="00D9789D"/>
    <w:rsid w:val="00DA7E99"/>
    <w:rsid w:val="00DA7F8B"/>
    <w:rsid w:val="00DB055E"/>
    <w:rsid w:val="00DB10E9"/>
    <w:rsid w:val="00DC0D94"/>
    <w:rsid w:val="00DC6AA9"/>
    <w:rsid w:val="00DD6977"/>
    <w:rsid w:val="00DE0E92"/>
    <w:rsid w:val="00DF539E"/>
    <w:rsid w:val="00E06366"/>
    <w:rsid w:val="00E1444E"/>
    <w:rsid w:val="00E149BD"/>
    <w:rsid w:val="00E14C64"/>
    <w:rsid w:val="00E152C4"/>
    <w:rsid w:val="00E15AF1"/>
    <w:rsid w:val="00E22917"/>
    <w:rsid w:val="00E3012D"/>
    <w:rsid w:val="00E3053E"/>
    <w:rsid w:val="00E32FD1"/>
    <w:rsid w:val="00E3697D"/>
    <w:rsid w:val="00E4664F"/>
    <w:rsid w:val="00E51399"/>
    <w:rsid w:val="00E54241"/>
    <w:rsid w:val="00E701CC"/>
    <w:rsid w:val="00E75462"/>
    <w:rsid w:val="00E85438"/>
    <w:rsid w:val="00E872BF"/>
    <w:rsid w:val="00E9444C"/>
    <w:rsid w:val="00E9543A"/>
    <w:rsid w:val="00E956E8"/>
    <w:rsid w:val="00EA29E7"/>
    <w:rsid w:val="00EA318D"/>
    <w:rsid w:val="00EB0F21"/>
    <w:rsid w:val="00EB1083"/>
    <w:rsid w:val="00EB39B6"/>
    <w:rsid w:val="00EC0A6D"/>
    <w:rsid w:val="00EC4889"/>
    <w:rsid w:val="00EC6613"/>
    <w:rsid w:val="00EC7870"/>
    <w:rsid w:val="00ED2F73"/>
    <w:rsid w:val="00ED47C7"/>
    <w:rsid w:val="00ED694F"/>
    <w:rsid w:val="00EE0D12"/>
    <w:rsid w:val="00EE6A40"/>
    <w:rsid w:val="00EE7E90"/>
    <w:rsid w:val="00F03458"/>
    <w:rsid w:val="00F12E2D"/>
    <w:rsid w:val="00F130C5"/>
    <w:rsid w:val="00F14593"/>
    <w:rsid w:val="00F14C96"/>
    <w:rsid w:val="00F178AD"/>
    <w:rsid w:val="00F20C06"/>
    <w:rsid w:val="00F23862"/>
    <w:rsid w:val="00F266E0"/>
    <w:rsid w:val="00F30F8C"/>
    <w:rsid w:val="00F41050"/>
    <w:rsid w:val="00F47A10"/>
    <w:rsid w:val="00F63810"/>
    <w:rsid w:val="00F64119"/>
    <w:rsid w:val="00F700C2"/>
    <w:rsid w:val="00F730F1"/>
    <w:rsid w:val="00F821F0"/>
    <w:rsid w:val="00F85743"/>
    <w:rsid w:val="00F8686B"/>
    <w:rsid w:val="00F9073B"/>
    <w:rsid w:val="00F949DA"/>
    <w:rsid w:val="00F95407"/>
    <w:rsid w:val="00F95DDF"/>
    <w:rsid w:val="00FA2F72"/>
    <w:rsid w:val="00FA69C7"/>
    <w:rsid w:val="00FB4AFB"/>
    <w:rsid w:val="00FB546A"/>
    <w:rsid w:val="00FB751B"/>
    <w:rsid w:val="00FC1DE5"/>
    <w:rsid w:val="00FC5DA4"/>
    <w:rsid w:val="00FD4B63"/>
    <w:rsid w:val="00FE4723"/>
    <w:rsid w:val="00FE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61C3"/>
  <w15:docId w15:val="{9291E0C3-CFA9-42F2-86C6-3BADA067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ListParagraph"/>
    <w:next w:val="Normal"/>
    <w:link w:val="Heading1Char"/>
    <w:uiPriority w:val="9"/>
    <w:qFormat/>
    <w:rsid w:val="00D7332B"/>
    <w:pPr>
      <w:numPr>
        <w:numId w:val="10"/>
      </w:numPr>
      <w:spacing w:line="547" w:lineRule="exact"/>
      <w:ind w:left="0" w:firstLine="720"/>
      <w:textAlignment w:val="baseline"/>
      <w:outlineLvl w:val="0"/>
    </w:pPr>
    <w:rPr>
      <w:rFonts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tyTitle">
    <w:name w:val="County Title"/>
    <w:basedOn w:val="Normal"/>
    <w:qFormat/>
    <w:rsid w:val="0092783F"/>
    <w:pPr>
      <w:tabs>
        <w:tab w:val="right" w:pos="9360"/>
      </w:tabs>
      <w:suppressAutoHyphens/>
    </w:pPr>
    <w:rPr>
      <w:rFonts w:eastAsia="Times New Roman"/>
      <w:caps/>
      <w:sz w:val="24"/>
      <w:szCs w:val="20"/>
    </w:rPr>
  </w:style>
  <w:style w:type="character" w:styleId="PlaceholderText">
    <w:name w:val="Placeholder Text"/>
    <w:basedOn w:val="DefaultParagraphFont"/>
    <w:uiPriority w:val="99"/>
    <w:semiHidden/>
    <w:rsid w:val="0092783F"/>
    <w:rPr>
      <w:color w:val="808080"/>
    </w:rPr>
  </w:style>
  <w:style w:type="paragraph" w:customStyle="1" w:styleId="DocID">
    <w:name w:val="DocID"/>
    <w:basedOn w:val="Footer"/>
    <w:next w:val="Footer"/>
    <w:link w:val="DocIDChar"/>
    <w:rsid w:val="00E956E8"/>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E956E8"/>
    <w:rPr>
      <w:rFonts w:eastAsia="Times New Roman"/>
      <w:sz w:val="18"/>
      <w:szCs w:val="20"/>
      <w:lang w:val="en-US" w:eastAsia="en-US"/>
    </w:rPr>
  </w:style>
  <w:style w:type="paragraph" w:styleId="Footer">
    <w:name w:val="footer"/>
    <w:basedOn w:val="Normal"/>
    <w:link w:val="FooterChar"/>
    <w:uiPriority w:val="99"/>
    <w:unhideWhenUsed/>
    <w:rsid w:val="00E956E8"/>
    <w:pPr>
      <w:tabs>
        <w:tab w:val="center" w:pos="4680"/>
        <w:tab w:val="right" w:pos="9360"/>
      </w:tabs>
    </w:pPr>
  </w:style>
  <w:style w:type="character" w:customStyle="1" w:styleId="FooterChar">
    <w:name w:val="Footer Char"/>
    <w:basedOn w:val="DefaultParagraphFont"/>
    <w:link w:val="Footer"/>
    <w:uiPriority w:val="99"/>
    <w:rsid w:val="00E956E8"/>
  </w:style>
  <w:style w:type="paragraph" w:styleId="Header">
    <w:name w:val="header"/>
    <w:basedOn w:val="Normal"/>
    <w:link w:val="HeaderChar"/>
    <w:uiPriority w:val="99"/>
    <w:unhideWhenUsed/>
    <w:rsid w:val="00E956E8"/>
    <w:pPr>
      <w:tabs>
        <w:tab w:val="center" w:pos="4680"/>
        <w:tab w:val="right" w:pos="9360"/>
      </w:tabs>
    </w:pPr>
  </w:style>
  <w:style w:type="character" w:customStyle="1" w:styleId="HeaderChar">
    <w:name w:val="Header Char"/>
    <w:basedOn w:val="DefaultParagraphFont"/>
    <w:link w:val="Header"/>
    <w:uiPriority w:val="99"/>
    <w:rsid w:val="00E956E8"/>
  </w:style>
  <w:style w:type="paragraph" w:styleId="NoSpacing">
    <w:name w:val="No Spacing"/>
    <w:basedOn w:val="Normal"/>
    <w:uiPriority w:val="1"/>
    <w:qFormat/>
    <w:rsid w:val="00D7332B"/>
    <w:pPr>
      <w:spacing w:line="480" w:lineRule="auto"/>
      <w:ind w:firstLine="720"/>
      <w:textAlignment w:val="baseline"/>
    </w:pPr>
    <w:rPr>
      <w:rFonts w:eastAsia="Times New Roman"/>
      <w:color w:val="000000"/>
      <w:sz w:val="24"/>
    </w:rPr>
  </w:style>
  <w:style w:type="paragraph" w:styleId="ListParagraph">
    <w:name w:val="List Paragraph"/>
    <w:basedOn w:val="Normal"/>
    <w:uiPriority w:val="34"/>
    <w:qFormat/>
    <w:rsid w:val="00D7332B"/>
    <w:pPr>
      <w:ind w:left="720"/>
      <w:contextualSpacing/>
    </w:pPr>
  </w:style>
  <w:style w:type="character" w:customStyle="1" w:styleId="Heading1Char">
    <w:name w:val="Heading 1 Char"/>
    <w:basedOn w:val="DefaultParagraphFont"/>
    <w:link w:val="Heading1"/>
    <w:uiPriority w:val="9"/>
    <w:rsid w:val="00D7332B"/>
    <w:rPr>
      <w:rFonts w:eastAsia="Times New Roman"/>
      <w:color w:val="000000"/>
      <w:sz w:val="24"/>
    </w:rPr>
  </w:style>
  <w:style w:type="paragraph" w:styleId="FootnoteText">
    <w:name w:val="footnote text"/>
    <w:basedOn w:val="Normal"/>
    <w:link w:val="FootnoteTextChar"/>
    <w:uiPriority w:val="99"/>
    <w:unhideWhenUsed/>
    <w:rsid w:val="00B24D31"/>
    <w:rPr>
      <w:sz w:val="20"/>
      <w:szCs w:val="20"/>
    </w:rPr>
  </w:style>
  <w:style w:type="character" w:customStyle="1" w:styleId="FootnoteTextChar">
    <w:name w:val="Footnote Text Char"/>
    <w:basedOn w:val="DefaultParagraphFont"/>
    <w:link w:val="FootnoteText"/>
    <w:uiPriority w:val="99"/>
    <w:rsid w:val="00B24D31"/>
    <w:rPr>
      <w:sz w:val="20"/>
      <w:szCs w:val="20"/>
    </w:rPr>
  </w:style>
  <w:style w:type="character" w:styleId="FootnoteReference">
    <w:name w:val="footnote reference"/>
    <w:basedOn w:val="DefaultParagraphFont"/>
    <w:uiPriority w:val="99"/>
    <w:unhideWhenUsed/>
    <w:rsid w:val="00B24D31"/>
    <w:rPr>
      <w:vertAlign w:val="superscript"/>
    </w:rPr>
  </w:style>
  <w:style w:type="paragraph" w:styleId="BalloonText">
    <w:name w:val="Balloon Text"/>
    <w:basedOn w:val="Normal"/>
    <w:link w:val="BalloonTextChar"/>
    <w:uiPriority w:val="99"/>
    <w:semiHidden/>
    <w:unhideWhenUsed/>
    <w:rsid w:val="00DB1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0E9"/>
    <w:rPr>
      <w:rFonts w:ascii="Segoe UI" w:hAnsi="Segoe UI" w:cs="Segoe UI"/>
      <w:sz w:val="18"/>
      <w:szCs w:val="18"/>
    </w:rPr>
  </w:style>
  <w:style w:type="paragraph" w:styleId="BodyTextIndent2">
    <w:name w:val="Body Text Indent 2"/>
    <w:basedOn w:val="Normal"/>
    <w:link w:val="BodyTextIndent2Char"/>
    <w:unhideWhenUsed/>
    <w:rsid w:val="00A7389E"/>
    <w:pPr>
      <w:spacing w:after="120" w:line="480" w:lineRule="auto"/>
      <w:ind w:left="360"/>
    </w:pPr>
  </w:style>
  <w:style w:type="character" w:customStyle="1" w:styleId="BodyTextIndent2Char">
    <w:name w:val="Body Text Indent 2 Char"/>
    <w:basedOn w:val="DefaultParagraphFont"/>
    <w:link w:val="BodyTextIndent2"/>
    <w:rsid w:val="00A7389E"/>
  </w:style>
  <w:style w:type="character" w:styleId="CommentReference">
    <w:name w:val="annotation reference"/>
    <w:basedOn w:val="DefaultParagraphFont"/>
    <w:uiPriority w:val="99"/>
    <w:semiHidden/>
    <w:unhideWhenUsed/>
    <w:rsid w:val="00EA29E7"/>
    <w:rPr>
      <w:sz w:val="16"/>
      <w:szCs w:val="16"/>
    </w:rPr>
  </w:style>
  <w:style w:type="paragraph" w:styleId="CommentText">
    <w:name w:val="annotation text"/>
    <w:basedOn w:val="Normal"/>
    <w:link w:val="CommentTextChar"/>
    <w:uiPriority w:val="99"/>
    <w:semiHidden/>
    <w:unhideWhenUsed/>
    <w:rsid w:val="00EA29E7"/>
    <w:rPr>
      <w:sz w:val="20"/>
      <w:szCs w:val="20"/>
    </w:rPr>
  </w:style>
  <w:style w:type="character" w:customStyle="1" w:styleId="CommentTextChar">
    <w:name w:val="Comment Text Char"/>
    <w:basedOn w:val="DefaultParagraphFont"/>
    <w:link w:val="CommentText"/>
    <w:uiPriority w:val="99"/>
    <w:semiHidden/>
    <w:rsid w:val="00EA29E7"/>
    <w:rPr>
      <w:sz w:val="20"/>
      <w:szCs w:val="20"/>
    </w:rPr>
  </w:style>
  <w:style w:type="paragraph" w:styleId="CommentSubject">
    <w:name w:val="annotation subject"/>
    <w:basedOn w:val="CommentText"/>
    <w:next w:val="CommentText"/>
    <w:link w:val="CommentSubjectChar"/>
    <w:uiPriority w:val="99"/>
    <w:semiHidden/>
    <w:unhideWhenUsed/>
    <w:rsid w:val="00EA29E7"/>
    <w:rPr>
      <w:b/>
      <w:bCs/>
    </w:rPr>
  </w:style>
  <w:style w:type="character" w:customStyle="1" w:styleId="CommentSubjectChar">
    <w:name w:val="Comment Subject Char"/>
    <w:basedOn w:val="CommentTextChar"/>
    <w:link w:val="CommentSubject"/>
    <w:uiPriority w:val="99"/>
    <w:semiHidden/>
    <w:rsid w:val="00EA29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5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F6E5-1C7A-4380-836D-42A85527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1447</Words>
  <Characters>7916</Characters>
  <Application>Microsoft Office Word</Application>
  <DocSecurity>0</DocSecurity>
  <Lines>127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Schweitzer, Andrea</dc:creator>
  <cp:keywords/>
  <cp:lastModifiedBy>Holmes, Ralph</cp:lastModifiedBy>
  <cp:revision>4</cp:revision>
  <cp:lastPrinted>2019-02-04T14:39:00Z</cp:lastPrinted>
  <dcterms:created xsi:type="dcterms:W3CDTF">2019-03-08T18:19:00Z</dcterms:created>
  <dcterms:modified xsi:type="dcterms:W3CDTF">2019-03-16T15:09:00Z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1017856</vt:lpwstr>
  </property>
  <property fmtid="{D5CDD505-2E9C-101B-9397-08002B2CF9AE}" pid="3" name="CUS_DocIDLocation">
    <vt:lpwstr>NO_DOC_ID</vt:lpwstr>
  </property>
  <property fmtid="{D5CDD505-2E9C-101B-9397-08002B2CF9AE}" pid="4" name="CUS_DocIDReference">
    <vt:lpwstr>noDocID</vt:lpwstr>
  </property>
</Properties>
</file>